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D9F" w:rsidRPr="00A9213B" w:rsidRDefault="000E3D9F" w:rsidP="00F96E54">
      <w:pPr>
        <w:tabs>
          <w:tab w:val="center" w:pos="4536"/>
          <w:tab w:val="right" w:pos="9360"/>
        </w:tabs>
        <w:spacing w:line="271" w:lineRule="auto"/>
        <w:rPr>
          <w:rFonts w:asciiTheme="minorHAnsi" w:eastAsiaTheme="minorEastAsia" w:hAnsiTheme="minorHAnsi" w:cs="Arial"/>
          <w:b/>
          <w:lang w:eastAsia="zh-CN"/>
        </w:rPr>
      </w:pPr>
      <w:r w:rsidRPr="00A9213B">
        <w:rPr>
          <w:rFonts w:asciiTheme="minorHAnsi" w:hAnsiTheme="minorHAnsi" w:cs="Arial"/>
          <w:b/>
        </w:rPr>
        <w:t>3GPP TSG RAN WG1 Meeting #</w:t>
      </w:r>
      <w:r w:rsidRPr="00A9213B">
        <w:rPr>
          <w:rFonts w:asciiTheme="minorHAnsi" w:eastAsiaTheme="minorEastAsia" w:hAnsiTheme="minorHAnsi" w:cs="Arial"/>
          <w:b/>
          <w:lang w:eastAsia="zh-CN"/>
        </w:rPr>
        <w:t>8</w:t>
      </w:r>
      <w:r w:rsidR="00787879" w:rsidRPr="00A9213B">
        <w:rPr>
          <w:rFonts w:asciiTheme="minorHAnsi" w:eastAsiaTheme="minorEastAsia" w:hAnsiTheme="minorHAnsi" w:cs="Arial"/>
          <w:b/>
          <w:lang w:eastAsia="zh-CN"/>
        </w:rPr>
        <w:t>7</w:t>
      </w:r>
      <w:r w:rsidR="00F96E54">
        <w:rPr>
          <w:rFonts w:asciiTheme="minorHAnsi" w:eastAsia="MS Mincho" w:hAnsiTheme="minorHAnsi"/>
          <w:b/>
          <w:lang w:val="en-US"/>
        </w:rPr>
        <w:t xml:space="preserve"> </w:t>
      </w:r>
      <w:r w:rsidR="00F96E54">
        <w:rPr>
          <w:rFonts w:asciiTheme="minorHAnsi" w:eastAsia="MS Mincho" w:hAnsiTheme="minorHAnsi"/>
          <w:b/>
          <w:lang w:val="en-US"/>
        </w:rPr>
        <w:tab/>
      </w:r>
      <w:r w:rsidR="00F96E54">
        <w:rPr>
          <w:rFonts w:asciiTheme="minorHAnsi" w:eastAsia="MS Mincho" w:hAnsiTheme="minorHAnsi"/>
          <w:b/>
          <w:lang w:val="en-US"/>
        </w:rPr>
        <w:tab/>
      </w:r>
      <w:r w:rsidR="000F7B53" w:rsidRPr="00A9213B">
        <w:rPr>
          <w:rFonts w:asciiTheme="minorHAnsi" w:hAnsiTheme="minorHAnsi" w:cs="Arial"/>
          <w:b/>
        </w:rPr>
        <w:t>R1-</w:t>
      </w:r>
      <w:r w:rsidR="00096F8B" w:rsidRPr="00A9213B">
        <w:rPr>
          <w:rFonts w:asciiTheme="minorHAnsi" w:hAnsiTheme="minorHAnsi" w:cs="Arial"/>
          <w:b/>
        </w:rPr>
        <w:t xml:space="preserve"> 16</w:t>
      </w:r>
      <w:r w:rsidR="00A9213B" w:rsidRPr="00A9213B">
        <w:rPr>
          <w:rFonts w:asciiTheme="minorHAnsi" w:hAnsiTheme="minorHAnsi" w:cs="Arial"/>
          <w:b/>
        </w:rPr>
        <w:t>12015</w:t>
      </w:r>
    </w:p>
    <w:p w:rsidR="000E3D9F" w:rsidRPr="00A9213B" w:rsidRDefault="00545A77" w:rsidP="000E3D9F">
      <w:pPr>
        <w:tabs>
          <w:tab w:val="center" w:pos="4536"/>
          <w:tab w:val="right" w:pos="9072"/>
          <w:tab w:val="right" w:pos="9781"/>
        </w:tabs>
        <w:spacing w:line="271" w:lineRule="auto"/>
        <w:ind w:right="-58"/>
        <w:rPr>
          <w:rFonts w:asciiTheme="minorHAnsi" w:eastAsiaTheme="minorEastAsia" w:hAnsiTheme="minorHAnsi"/>
          <w:b/>
          <w:lang w:val="en-US" w:eastAsia="zh-CN"/>
        </w:rPr>
      </w:pPr>
      <w:r w:rsidRPr="00A9213B">
        <w:rPr>
          <w:rFonts w:asciiTheme="minorHAnsi" w:eastAsia="SimSun" w:hAnsiTheme="minorHAnsi"/>
          <w:b/>
          <w:lang w:eastAsia="zh-CN"/>
        </w:rPr>
        <w:t>Reno</w:t>
      </w:r>
      <w:r w:rsidR="000E3D9F" w:rsidRPr="00A9213B">
        <w:rPr>
          <w:rFonts w:asciiTheme="minorHAnsi" w:eastAsia="SimSun" w:hAnsiTheme="minorHAnsi"/>
          <w:b/>
          <w:lang w:eastAsia="zh-CN"/>
        </w:rPr>
        <w:t xml:space="preserve">, </w:t>
      </w:r>
      <w:r w:rsidRPr="00A9213B">
        <w:rPr>
          <w:rFonts w:asciiTheme="minorHAnsi" w:eastAsia="SimSun" w:hAnsiTheme="minorHAnsi"/>
          <w:b/>
          <w:lang w:eastAsia="zh-CN"/>
        </w:rPr>
        <w:t>US</w:t>
      </w:r>
      <w:r w:rsidR="00E34D13" w:rsidRPr="00A9213B">
        <w:rPr>
          <w:rFonts w:asciiTheme="minorHAnsi" w:eastAsia="SimSun" w:hAnsiTheme="minorHAnsi"/>
          <w:b/>
          <w:lang w:eastAsia="zh-CN"/>
        </w:rPr>
        <w:t>A</w:t>
      </w:r>
      <w:r w:rsidR="000E3D9F" w:rsidRPr="00A9213B">
        <w:rPr>
          <w:rFonts w:asciiTheme="minorHAnsi" w:eastAsia="SimSun" w:hAnsiTheme="minorHAnsi"/>
          <w:b/>
          <w:lang w:eastAsia="zh-CN"/>
        </w:rPr>
        <w:t>,</w:t>
      </w:r>
      <w:r w:rsidR="000E3D9F" w:rsidRPr="00A9213B">
        <w:rPr>
          <w:rFonts w:asciiTheme="minorHAnsi" w:hAnsiTheme="minorHAnsi"/>
          <w:b/>
          <w:lang w:val="pt-BR" w:eastAsia="ja-JP"/>
        </w:rPr>
        <w:t xml:space="preserve"> </w:t>
      </w:r>
      <w:r w:rsidRPr="00A9213B">
        <w:rPr>
          <w:rFonts w:asciiTheme="minorHAnsi" w:eastAsiaTheme="minorEastAsia" w:hAnsiTheme="minorHAnsi"/>
          <w:b/>
          <w:lang w:eastAsia="zh-CN"/>
        </w:rPr>
        <w:t>14</w:t>
      </w:r>
      <w:r w:rsidR="000E3D9F" w:rsidRPr="00A9213B">
        <w:rPr>
          <w:rFonts w:asciiTheme="minorHAnsi" w:eastAsiaTheme="minorEastAsia" w:hAnsiTheme="minorHAnsi"/>
          <w:b/>
          <w:lang w:eastAsia="zh-CN"/>
        </w:rPr>
        <w:t>th</w:t>
      </w:r>
      <w:r w:rsidR="000E3D9F" w:rsidRPr="00A9213B">
        <w:rPr>
          <w:rFonts w:asciiTheme="minorHAnsi" w:hAnsiTheme="minorHAnsi"/>
          <w:b/>
          <w:lang w:eastAsia="ja-JP"/>
        </w:rPr>
        <w:t xml:space="preserve"> </w:t>
      </w:r>
      <w:r w:rsidR="000E3D9F" w:rsidRPr="00A9213B">
        <w:rPr>
          <w:rFonts w:asciiTheme="minorHAnsi" w:eastAsia="SimSun" w:hAnsiTheme="minorHAnsi"/>
          <w:b/>
          <w:lang w:eastAsia="zh-CN"/>
        </w:rPr>
        <w:t xml:space="preserve">– </w:t>
      </w:r>
      <w:r w:rsidRPr="00A9213B">
        <w:rPr>
          <w:rFonts w:asciiTheme="minorHAnsi" w:eastAsia="SimSun" w:hAnsiTheme="minorHAnsi"/>
          <w:b/>
          <w:lang w:eastAsia="zh-CN"/>
        </w:rPr>
        <w:t>18</w:t>
      </w:r>
      <w:r w:rsidR="000E3D9F" w:rsidRPr="00A9213B">
        <w:rPr>
          <w:rFonts w:asciiTheme="minorHAnsi" w:eastAsia="SimSun" w:hAnsiTheme="minorHAnsi"/>
          <w:b/>
          <w:lang w:eastAsia="zh-CN"/>
        </w:rPr>
        <w:t>th</w:t>
      </w:r>
      <w:r w:rsidR="000E3D9F" w:rsidRPr="00A9213B">
        <w:rPr>
          <w:rFonts w:asciiTheme="minorHAnsi" w:hAnsiTheme="minorHAnsi"/>
          <w:b/>
          <w:lang w:eastAsia="ja-JP"/>
        </w:rPr>
        <w:t xml:space="preserve"> </w:t>
      </w:r>
      <w:r w:rsidR="00787879" w:rsidRPr="00A9213B">
        <w:rPr>
          <w:rFonts w:asciiTheme="minorHAnsi" w:eastAsiaTheme="minorEastAsia" w:hAnsiTheme="minorHAnsi"/>
          <w:b/>
          <w:lang w:eastAsia="zh-CN"/>
        </w:rPr>
        <w:t>November</w:t>
      </w:r>
      <w:r w:rsidR="000E3D9F" w:rsidRPr="00A9213B">
        <w:rPr>
          <w:rFonts w:asciiTheme="minorHAnsi" w:hAnsiTheme="minorHAnsi"/>
          <w:b/>
          <w:lang w:eastAsia="ja-JP"/>
        </w:rPr>
        <w:t xml:space="preserve"> 201</w:t>
      </w:r>
      <w:r w:rsidR="000E3D9F" w:rsidRPr="00A9213B">
        <w:rPr>
          <w:rFonts w:asciiTheme="minorHAnsi" w:eastAsiaTheme="minorEastAsia" w:hAnsiTheme="minorHAnsi"/>
          <w:b/>
          <w:lang w:val="en-US" w:eastAsia="zh-CN"/>
        </w:rPr>
        <w:t>6</w:t>
      </w:r>
    </w:p>
    <w:p w:rsidR="000E3D9F" w:rsidRPr="00A9213B" w:rsidRDefault="000E3D9F" w:rsidP="000E3D9F">
      <w:pPr>
        <w:pStyle w:val="Header"/>
        <w:spacing w:line="271" w:lineRule="auto"/>
        <w:rPr>
          <w:rFonts w:asciiTheme="minorHAnsi" w:hAnsiTheme="minorHAnsi"/>
          <w:noProof w:val="0"/>
        </w:rPr>
      </w:pPr>
    </w:p>
    <w:p w:rsidR="00F96E54" w:rsidRPr="00F96E54" w:rsidRDefault="00F96E54" w:rsidP="00F96E54">
      <w:pPr>
        <w:pStyle w:val="Header"/>
        <w:tabs>
          <w:tab w:val="left" w:pos="1800"/>
        </w:tabs>
        <w:spacing w:line="271" w:lineRule="auto"/>
        <w:ind w:left="1800" w:hanging="1800"/>
        <w:rPr>
          <w:rFonts w:asciiTheme="minorHAnsi" w:eastAsiaTheme="minorEastAsia" w:hAnsiTheme="minorHAnsi"/>
          <w:noProof w:val="0"/>
          <w:sz w:val="24"/>
          <w:szCs w:val="22"/>
          <w:lang w:eastAsia="zh-CN"/>
        </w:rPr>
      </w:pPr>
      <w:r w:rsidRPr="00F96E54">
        <w:rPr>
          <w:rFonts w:asciiTheme="minorHAnsi" w:eastAsia="MS Gothic" w:hAnsiTheme="minorHAnsi"/>
          <w:noProof w:val="0"/>
          <w:sz w:val="24"/>
          <w:szCs w:val="22"/>
        </w:rPr>
        <w:t>Agenda Item:</w:t>
      </w:r>
      <w:r w:rsidRPr="00F96E54">
        <w:rPr>
          <w:rFonts w:asciiTheme="minorHAnsi" w:eastAsia="MS Gothic" w:hAnsiTheme="minorHAnsi"/>
          <w:noProof w:val="0"/>
          <w:sz w:val="24"/>
          <w:szCs w:val="22"/>
        </w:rPr>
        <w:tab/>
      </w:r>
      <w:r w:rsidRPr="00F96E54">
        <w:rPr>
          <w:rFonts w:asciiTheme="minorHAnsi" w:eastAsiaTheme="minorEastAsia" w:hAnsiTheme="minorHAnsi"/>
          <w:noProof w:val="0"/>
          <w:sz w:val="24"/>
          <w:szCs w:val="22"/>
          <w:lang w:eastAsia="zh-CN"/>
        </w:rPr>
        <w:t>7.1.1</w:t>
      </w:r>
    </w:p>
    <w:p w:rsidR="000E3D9F" w:rsidRPr="00F96E54" w:rsidRDefault="000E3D9F" w:rsidP="000E3D9F">
      <w:pPr>
        <w:pStyle w:val="Header"/>
        <w:spacing w:line="271" w:lineRule="auto"/>
        <w:ind w:left="1800" w:hanging="1800"/>
        <w:rPr>
          <w:rFonts w:asciiTheme="minorHAnsi" w:eastAsiaTheme="minorEastAsia" w:hAnsiTheme="minorHAnsi" w:cs="Arial"/>
          <w:noProof w:val="0"/>
          <w:sz w:val="24"/>
          <w:szCs w:val="22"/>
          <w:lang w:eastAsia="zh-CN"/>
        </w:rPr>
      </w:pPr>
      <w:r w:rsidRPr="00F96E54">
        <w:rPr>
          <w:rFonts w:asciiTheme="minorHAnsi" w:eastAsia="MS Gothic" w:hAnsiTheme="minorHAnsi" w:cs="Arial"/>
          <w:noProof w:val="0"/>
          <w:sz w:val="24"/>
          <w:szCs w:val="22"/>
        </w:rPr>
        <w:t>Source:</w:t>
      </w:r>
      <w:r w:rsidRPr="00F96E54">
        <w:rPr>
          <w:rFonts w:asciiTheme="minorHAnsi" w:eastAsia="MS Gothic" w:hAnsiTheme="minorHAnsi" w:cs="Arial"/>
          <w:noProof w:val="0"/>
          <w:sz w:val="24"/>
          <w:szCs w:val="22"/>
        </w:rPr>
        <w:tab/>
      </w:r>
      <w:r w:rsidR="00A9213B" w:rsidRPr="00F96E54">
        <w:rPr>
          <w:rFonts w:asciiTheme="minorHAnsi" w:eastAsia="SimSun" w:hAnsiTheme="minorHAnsi" w:cs="Arial"/>
          <w:noProof w:val="0"/>
          <w:sz w:val="24"/>
          <w:szCs w:val="22"/>
          <w:lang w:eastAsia="zh-CN"/>
        </w:rPr>
        <w:t>Qualcomm</w:t>
      </w:r>
    </w:p>
    <w:p w:rsidR="000E3D9F" w:rsidRPr="00F96E54" w:rsidRDefault="000E3D9F" w:rsidP="000E3D9F">
      <w:pPr>
        <w:pStyle w:val="Header"/>
        <w:spacing w:line="271" w:lineRule="auto"/>
        <w:ind w:left="1800" w:hanging="1800"/>
        <w:jc w:val="both"/>
        <w:rPr>
          <w:rFonts w:asciiTheme="minorHAnsi" w:eastAsiaTheme="minorEastAsia" w:hAnsiTheme="minorHAnsi" w:cs="Arial"/>
          <w:noProof w:val="0"/>
          <w:sz w:val="24"/>
          <w:szCs w:val="22"/>
          <w:lang w:eastAsia="zh-CN"/>
        </w:rPr>
      </w:pPr>
      <w:r w:rsidRPr="00F96E54">
        <w:rPr>
          <w:rFonts w:asciiTheme="minorHAnsi" w:eastAsia="MS Gothic" w:hAnsiTheme="minorHAnsi"/>
          <w:noProof w:val="0"/>
          <w:sz w:val="24"/>
          <w:szCs w:val="22"/>
        </w:rPr>
        <w:t>Title:</w:t>
      </w:r>
      <w:r w:rsidRPr="00F96E54">
        <w:rPr>
          <w:rFonts w:asciiTheme="minorHAnsi" w:eastAsia="MS Gothic" w:hAnsiTheme="minorHAnsi"/>
          <w:noProof w:val="0"/>
          <w:sz w:val="24"/>
          <w:szCs w:val="22"/>
        </w:rPr>
        <w:tab/>
      </w:r>
      <w:r w:rsidR="00A9213B" w:rsidRPr="00F96E54">
        <w:rPr>
          <w:rFonts w:asciiTheme="minorHAnsi" w:eastAsiaTheme="minorEastAsia" w:hAnsiTheme="minorHAnsi"/>
          <w:noProof w:val="0"/>
          <w:sz w:val="24"/>
          <w:szCs w:val="22"/>
          <w:lang w:eastAsia="zh-CN"/>
        </w:rPr>
        <w:t xml:space="preserve">Mini-slot design for </w:t>
      </w:r>
      <w:proofErr w:type="spellStart"/>
      <w:r w:rsidR="00F96E54" w:rsidRPr="00F96E54">
        <w:rPr>
          <w:rFonts w:asciiTheme="minorHAnsi" w:eastAsiaTheme="minorEastAsia" w:hAnsiTheme="minorHAnsi"/>
          <w:noProof w:val="0"/>
          <w:sz w:val="24"/>
          <w:szCs w:val="22"/>
          <w:lang w:eastAsia="zh-CN"/>
        </w:rPr>
        <w:t>mm</w:t>
      </w:r>
      <w:r w:rsidR="00A9213B" w:rsidRPr="00F96E54">
        <w:rPr>
          <w:rFonts w:asciiTheme="minorHAnsi" w:eastAsiaTheme="minorEastAsia" w:hAnsiTheme="minorHAnsi"/>
          <w:noProof w:val="0"/>
          <w:sz w:val="24"/>
          <w:szCs w:val="22"/>
          <w:lang w:eastAsia="zh-CN"/>
        </w:rPr>
        <w:t>W</w:t>
      </w:r>
      <w:proofErr w:type="spellEnd"/>
    </w:p>
    <w:p w:rsidR="000E3D9F" w:rsidRPr="00F96E54" w:rsidRDefault="000E3D9F" w:rsidP="000E3D9F">
      <w:pPr>
        <w:pBdr>
          <w:bottom w:val="single" w:sz="6" w:space="1" w:color="auto"/>
        </w:pBdr>
        <w:spacing w:line="271" w:lineRule="auto"/>
        <w:ind w:left="1800" w:hanging="1800"/>
        <w:rPr>
          <w:rFonts w:asciiTheme="minorHAnsi" w:eastAsia="SimSun" w:hAnsiTheme="minorHAnsi"/>
          <w:b/>
          <w:szCs w:val="22"/>
          <w:lang w:val="en-US" w:eastAsia="zh-CN"/>
        </w:rPr>
      </w:pPr>
      <w:r w:rsidRPr="00F96E54">
        <w:rPr>
          <w:rFonts w:asciiTheme="minorHAnsi" w:hAnsiTheme="minorHAnsi"/>
          <w:b/>
          <w:szCs w:val="22"/>
          <w:lang w:val="en-US"/>
        </w:rPr>
        <w:t>Document for:</w:t>
      </w:r>
      <w:r w:rsidRPr="00F96E54">
        <w:rPr>
          <w:rFonts w:asciiTheme="minorHAnsi" w:hAnsiTheme="minorHAnsi"/>
          <w:b/>
          <w:szCs w:val="22"/>
          <w:lang w:val="en-US" w:eastAsia="ja-JP"/>
        </w:rPr>
        <w:t xml:space="preserve"> </w:t>
      </w:r>
      <w:r w:rsidRPr="00F96E54">
        <w:rPr>
          <w:rFonts w:asciiTheme="minorHAnsi" w:hAnsiTheme="minorHAnsi"/>
          <w:b/>
          <w:szCs w:val="22"/>
          <w:lang w:val="en-US" w:eastAsia="ja-JP"/>
        </w:rPr>
        <w:tab/>
        <w:t>Discussion and Decision</w:t>
      </w:r>
    </w:p>
    <w:p w:rsidR="00DD4444" w:rsidRDefault="00A9213B">
      <w:pPr>
        <w:pStyle w:val="Heading1"/>
        <w:spacing w:after="120"/>
        <w:rPr>
          <w:rFonts w:asciiTheme="minorHAnsi" w:hAnsiTheme="minorHAnsi"/>
          <w:lang w:val="en-US"/>
        </w:rPr>
      </w:pPr>
      <w:r>
        <w:rPr>
          <w:rFonts w:asciiTheme="minorHAnsi" w:hAnsiTheme="minorHAnsi"/>
          <w:lang w:val="en-US"/>
        </w:rPr>
        <w:t>Background</w:t>
      </w:r>
    </w:p>
    <w:p w:rsidR="00A9213B" w:rsidRPr="0072230B" w:rsidRDefault="00F96E54" w:rsidP="00A9213B">
      <w:pPr>
        <w:rPr>
          <w:sz w:val="22"/>
          <w:lang w:val="en-US"/>
        </w:rPr>
      </w:pPr>
      <w:r>
        <w:rPr>
          <w:sz w:val="22"/>
          <w:lang w:val="en-US"/>
        </w:rPr>
        <w:t>In RAN1-86b</w:t>
      </w:r>
      <w:r w:rsidR="00D059FA" w:rsidRPr="0072230B">
        <w:rPr>
          <w:sz w:val="22"/>
          <w:lang w:val="en-US"/>
        </w:rPr>
        <w:t xml:space="preserve">, the following </w:t>
      </w:r>
      <w:r w:rsidR="0072230B" w:rsidRPr="0072230B">
        <w:rPr>
          <w:sz w:val="22"/>
          <w:lang w:val="en-US"/>
        </w:rPr>
        <w:t xml:space="preserve">were the </w:t>
      </w:r>
      <w:r w:rsidR="00D059FA" w:rsidRPr="0072230B">
        <w:rPr>
          <w:sz w:val="22"/>
          <w:lang w:val="en-US"/>
        </w:rPr>
        <w:t>agreements</w:t>
      </w:r>
      <w:r w:rsidR="0072230B" w:rsidRPr="0072230B">
        <w:rPr>
          <w:sz w:val="22"/>
          <w:lang w:val="en-US"/>
        </w:rPr>
        <w:t xml:space="preserve"> and working assumptions</w:t>
      </w:r>
      <w:r w:rsidR="00D059FA" w:rsidRPr="0072230B">
        <w:rPr>
          <w:sz w:val="22"/>
          <w:lang w:val="en-US"/>
        </w:rPr>
        <w:t xml:space="preserve"> on frame structure and </w:t>
      </w:r>
      <w:proofErr w:type="spellStart"/>
      <w:r w:rsidR="00D059FA" w:rsidRPr="0072230B">
        <w:rPr>
          <w:sz w:val="22"/>
          <w:lang w:val="en-US"/>
        </w:rPr>
        <w:t>subframe</w:t>
      </w:r>
      <w:proofErr w:type="spellEnd"/>
      <w:r w:rsidR="00D059FA" w:rsidRPr="0072230B">
        <w:rPr>
          <w:sz w:val="22"/>
          <w:lang w:val="en-US"/>
        </w:rPr>
        <w:t>/slot and mini-slot definitions:</w:t>
      </w:r>
    </w:p>
    <w:p w:rsidR="00D059FA" w:rsidRPr="0072230B" w:rsidRDefault="00D059FA" w:rsidP="00A9213B">
      <w:pPr>
        <w:rPr>
          <w:sz w:val="22"/>
          <w:lang w:val="en-US"/>
        </w:rPr>
      </w:pPr>
    </w:p>
    <w:p w:rsidR="0072230B" w:rsidRPr="0072230B" w:rsidRDefault="0072230B" w:rsidP="0072230B">
      <w:pPr>
        <w:rPr>
          <w:sz w:val="22"/>
          <w:lang w:val="en-US"/>
        </w:rPr>
      </w:pPr>
      <w:r w:rsidRPr="0072230B">
        <w:rPr>
          <w:sz w:val="22"/>
          <w:lang w:val="en-US"/>
        </w:rPr>
        <w:t>Working assumptions:</w:t>
      </w:r>
    </w:p>
    <w:p w:rsidR="0072230B" w:rsidRPr="0072230B" w:rsidRDefault="0072230B" w:rsidP="0072230B">
      <w:pPr>
        <w:pStyle w:val="ListParagraph"/>
        <w:numPr>
          <w:ilvl w:val="0"/>
          <w:numId w:val="24"/>
        </w:numPr>
        <w:ind w:firstLineChars="0"/>
        <w:rPr>
          <w:sz w:val="22"/>
          <w:lang w:val="en-US"/>
        </w:rPr>
      </w:pPr>
      <w:r w:rsidRPr="0072230B">
        <w:rPr>
          <w:sz w:val="22"/>
          <w:lang w:val="en-US"/>
        </w:rPr>
        <w:t>The NR frame structure should support both slots and mini-slots</w:t>
      </w:r>
    </w:p>
    <w:p w:rsidR="0072230B" w:rsidRPr="0072230B" w:rsidRDefault="0072230B" w:rsidP="0072230B">
      <w:pPr>
        <w:pStyle w:val="ListParagraph"/>
        <w:numPr>
          <w:ilvl w:val="0"/>
          <w:numId w:val="24"/>
        </w:numPr>
        <w:ind w:firstLineChars="0"/>
        <w:rPr>
          <w:sz w:val="22"/>
          <w:lang w:val="en-US"/>
        </w:rPr>
      </w:pPr>
      <w:r w:rsidRPr="0072230B">
        <w:rPr>
          <w:sz w:val="22"/>
          <w:lang w:val="en-US"/>
        </w:rPr>
        <w:t>FFS: Timeline granularity for monitoring control of the mini-slot</w:t>
      </w:r>
    </w:p>
    <w:p w:rsidR="00D059FA" w:rsidRDefault="0072230B" w:rsidP="0072230B">
      <w:pPr>
        <w:pStyle w:val="ListParagraph"/>
        <w:numPr>
          <w:ilvl w:val="0"/>
          <w:numId w:val="24"/>
        </w:numPr>
        <w:ind w:firstLineChars="0"/>
        <w:rPr>
          <w:sz w:val="22"/>
          <w:lang w:val="en-US"/>
        </w:rPr>
      </w:pPr>
      <w:r w:rsidRPr="0072230B">
        <w:rPr>
          <w:sz w:val="22"/>
          <w:lang w:val="en-US"/>
        </w:rPr>
        <w:t>FFS: Terminologies of mini-slot</w:t>
      </w:r>
    </w:p>
    <w:p w:rsidR="00EF5D82" w:rsidRDefault="00EF5D82" w:rsidP="00EF5D82">
      <w:pPr>
        <w:rPr>
          <w:sz w:val="22"/>
          <w:lang w:val="en-US"/>
        </w:rPr>
      </w:pPr>
    </w:p>
    <w:p w:rsidR="00EF5D82" w:rsidRPr="00EF5D82" w:rsidRDefault="00EF5D82" w:rsidP="00EF5D82">
      <w:pPr>
        <w:rPr>
          <w:rFonts w:eastAsia="MS Mincho"/>
          <w:sz w:val="22"/>
          <w:lang w:val="en-US" w:eastAsia="ja-JP"/>
        </w:rPr>
      </w:pPr>
      <w:r w:rsidRPr="00EF5D82">
        <w:rPr>
          <w:rFonts w:eastAsia="MS Mincho" w:hint="eastAsia"/>
          <w:sz w:val="22"/>
          <w:lang w:val="en-US" w:eastAsia="ja-JP"/>
        </w:rPr>
        <w:t>Agreements:</w:t>
      </w:r>
    </w:p>
    <w:p w:rsidR="00EF5D82" w:rsidRPr="00EF5D82" w:rsidRDefault="00EF5D82" w:rsidP="00EF5D82">
      <w:pPr>
        <w:pStyle w:val="ListParagraph"/>
        <w:numPr>
          <w:ilvl w:val="0"/>
          <w:numId w:val="27"/>
        </w:numPr>
        <w:ind w:firstLineChars="0"/>
        <w:rPr>
          <w:rFonts w:eastAsia="MS Mincho"/>
          <w:sz w:val="22"/>
          <w:lang w:val="en-US" w:eastAsia="ja-JP"/>
        </w:rPr>
      </w:pPr>
      <w:r w:rsidRPr="00EF5D82">
        <w:rPr>
          <w:rFonts w:eastAsia="MS Mincho" w:hint="eastAsia"/>
          <w:sz w:val="22"/>
          <w:lang w:val="en-US" w:eastAsia="ja-JP"/>
        </w:rPr>
        <w:t>For SCS of up to 60kHz with NCP, y = 7 and 14</w:t>
      </w:r>
    </w:p>
    <w:p w:rsidR="00EF5D82" w:rsidRPr="00EF5D82" w:rsidRDefault="00EF5D82" w:rsidP="00EF5D82">
      <w:pPr>
        <w:pStyle w:val="ListParagraph"/>
        <w:numPr>
          <w:ilvl w:val="0"/>
          <w:numId w:val="27"/>
        </w:numPr>
        <w:ind w:firstLineChars="0"/>
        <w:rPr>
          <w:rFonts w:eastAsia="MS Mincho"/>
          <w:sz w:val="22"/>
          <w:lang w:val="en-US" w:eastAsia="ja-JP"/>
        </w:rPr>
      </w:pPr>
      <w:r w:rsidRPr="00EF5D82">
        <w:rPr>
          <w:rFonts w:eastAsia="MS Mincho" w:hint="eastAsia"/>
          <w:sz w:val="22"/>
          <w:lang w:val="en-US" w:eastAsia="ja-JP"/>
        </w:rPr>
        <w:t>FFS: whether/which to down select for certain SCS(s)</w:t>
      </w:r>
    </w:p>
    <w:p w:rsidR="00EF5D82" w:rsidRPr="00EF5D82" w:rsidRDefault="00EF5D82" w:rsidP="00EF5D82">
      <w:pPr>
        <w:pStyle w:val="ListParagraph"/>
        <w:numPr>
          <w:ilvl w:val="0"/>
          <w:numId w:val="27"/>
        </w:numPr>
        <w:ind w:firstLineChars="0"/>
        <w:rPr>
          <w:rFonts w:eastAsia="MS Mincho"/>
          <w:sz w:val="22"/>
          <w:lang w:val="en-US" w:eastAsia="ja-JP"/>
        </w:rPr>
      </w:pPr>
      <w:r w:rsidRPr="00EF5D82">
        <w:rPr>
          <w:rFonts w:eastAsia="MS Mincho" w:hint="eastAsia"/>
          <w:sz w:val="22"/>
          <w:lang w:val="en-US" w:eastAsia="ja-JP"/>
        </w:rPr>
        <w:t>For SCS of higher than 60kHz with NCP, y = 14</w:t>
      </w:r>
    </w:p>
    <w:p w:rsidR="00EF5D82" w:rsidRPr="00EF5D82" w:rsidRDefault="00EF5D82" w:rsidP="00EF5D82">
      <w:pPr>
        <w:rPr>
          <w:sz w:val="22"/>
          <w:lang w:val="en-US"/>
        </w:rPr>
      </w:pPr>
    </w:p>
    <w:p w:rsidR="0072230B" w:rsidRPr="0072230B" w:rsidRDefault="0072230B" w:rsidP="0072230B">
      <w:pPr>
        <w:rPr>
          <w:sz w:val="22"/>
          <w:lang w:val="en-US"/>
        </w:rPr>
      </w:pPr>
    </w:p>
    <w:p w:rsidR="0072230B" w:rsidRPr="0072230B" w:rsidRDefault="0072230B" w:rsidP="0072230B">
      <w:pPr>
        <w:rPr>
          <w:sz w:val="22"/>
          <w:lang w:val="en-US"/>
        </w:rPr>
      </w:pPr>
      <w:r w:rsidRPr="0072230B">
        <w:rPr>
          <w:sz w:val="22"/>
          <w:lang w:val="en-US"/>
        </w:rPr>
        <w:t>Agreements:</w:t>
      </w:r>
    </w:p>
    <w:p w:rsidR="0072230B" w:rsidRPr="0072230B" w:rsidRDefault="0072230B" w:rsidP="0072230B">
      <w:pPr>
        <w:pStyle w:val="ListParagraph"/>
        <w:numPr>
          <w:ilvl w:val="0"/>
          <w:numId w:val="22"/>
        </w:numPr>
        <w:ind w:firstLineChars="0"/>
        <w:rPr>
          <w:sz w:val="22"/>
          <w:lang w:val="en-US"/>
        </w:rPr>
      </w:pPr>
      <w:r w:rsidRPr="0072230B">
        <w:rPr>
          <w:sz w:val="22"/>
          <w:lang w:val="en-US"/>
        </w:rPr>
        <w:t xml:space="preserve">From </w:t>
      </w:r>
      <w:proofErr w:type="spellStart"/>
      <w:r w:rsidRPr="0072230B">
        <w:rPr>
          <w:sz w:val="22"/>
          <w:lang w:val="en-US"/>
        </w:rPr>
        <w:t>gNB</w:t>
      </w:r>
      <w:proofErr w:type="spellEnd"/>
      <w:r w:rsidRPr="0072230B">
        <w:rPr>
          <w:sz w:val="22"/>
          <w:lang w:val="en-US"/>
        </w:rPr>
        <w:t xml:space="preserve"> perspective, DL control </w:t>
      </w:r>
      <w:proofErr w:type="spellStart"/>
      <w:r w:rsidRPr="0072230B">
        <w:rPr>
          <w:sz w:val="22"/>
          <w:lang w:val="en-US"/>
        </w:rPr>
        <w:t>signalling</w:t>
      </w:r>
      <w:proofErr w:type="spellEnd"/>
      <w:r w:rsidRPr="0072230B">
        <w:rPr>
          <w:sz w:val="22"/>
          <w:lang w:val="en-US"/>
        </w:rPr>
        <w:t xml:space="preserve"> can be located at the first OFDM symbol(s) in a slot and/or mini-slot</w:t>
      </w:r>
    </w:p>
    <w:p w:rsidR="0072230B" w:rsidRPr="0072230B" w:rsidRDefault="0072230B" w:rsidP="0072230B">
      <w:pPr>
        <w:pStyle w:val="ListParagraph"/>
        <w:numPr>
          <w:ilvl w:val="0"/>
          <w:numId w:val="22"/>
        </w:numPr>
        <w:ind w:firstLineChars="0"/>
        <w:rPr>
          <w:sz w:val="22"/>
          <w:lang w:val="en-US"/>
        </w:rPr>
      </w:pPr>
      <w:r w:rsidRPr="0072230B">
        <w:rPr>
          <w:sz w:val="22"/>
          <w:lang w:val="en-US"/>
        </w:rPr>
        <w:t xml:space="preserve">FFS: From </w:t>
      </w:r>
      <w:proofErr w:type="spellStart"/>
      <w:r w:rsidRPr="0072230B">
        <w:rPr>
          <w:sz w:val="22"/>
          <w:lang w:val="en-US"/>
        </w:rPr>
        <w:t>gNB</w:t>
      </w:r>
      <w:proofErr w:type="spellEnd"/>
      <w:r w:rsidRPr="0072230B">
        <w:rPr>
          <w:sz w:val="22"/>
          <w:lang w:val="en-US"/>
        </w:rPr>
        <w:t xml:space="preserve"> perspective, DL control </w:t>
      </w:r>
      <w:proofErr w:type="spellStart"/>
      <w:r w:rsidRPr="0072230B">
        <w:rPr>
          <w:sz w:val="22"/>
          <w:lang w:val="en-US"/>
        </w:rPr>
        <w:t>signalling</w:t>
      </w:r>
      <w:proofErr w:type="spellEnd"/>
      <w:r w:rsidRPr="0072230B">
        <w:rPr>
          <w:sz w:val="22"/>
          <w:lang w:val="en-US"/>
        </w:rPr>
        <w:t xml:space="preserve"> can be located over the slot and/or mini-slot</w:t>
      </w:r>
    </w:p>
    <w:p w:rsidR="0072230B" w:rsidRPr="0072230B" w:rsidRDefault="0072230B" w:rsidP="0072230B">
      <w:pPr>
        <w:rPr>
          <w:rFonts w:eastAsia="MS Mincho"/>
          <w:sz w:val="22"/>
          <w:lang w:val="en-US" w:eastAsia="ja-JP"/>
        </w:rPr>
      </w:pPr>
    </w:p>
    <w:p w:rsidR="0072230B" w:rsidRPr="0072230B" w:rsidRDefault="0072230B" w:rsidP="0072230B">
      <w:pPr>
        <w:rPr>
          <w:rFonts w:eastAsia="MS Mincho"/>
          <w:sz w:val="22"/>
          <w:lang w:val="en-US" w:eastAsia="ja-JP"/>
        </w:rPr>
      </w:pPr>
      <w:r w:rsidRPr="0072230B">
        <w:rPr>
          <w:rFonts w:eastAsia="MS Mincho" w:hint="eastAsia"/>
          <w:sz w:val="22"/>
          <w:lang w:val="en-US" w:eastAsia="ja-JP"/>
        </w:rPr>
        <w:t>Agreements:</w:t>
      </w:r>
    </w:p>
    <w:p w:rsidR="0072230B" w:rsidRPr="00EF5D82" w:rsidRDefault="0072230B" w:rsidP="00EF5D82">
      <w:pPr>
        <w:pStyle w:val="ListParagraph"/>
        <w:numPr>
          <w:ilvl w:val="0"/>
          <w:numId w:val="28"/>
        </w:numPr>
        <w:ind w:firstLineChars="0"/>
        <w:rPr>
          <w:rFonts w:eastAsia="MS Mincho"/>
          <w:sz w:val="22"/>
          <w:lang w:val="en-US" w:eastAsia="ja-JP"/>
        </w:rPr>
      </w:pPr>
      <w:r w:rsidRPr="00EF5D82">
        <w:rPr>
          <w:rFonts w:eastAsia="MS Mincho" w:hint="eastAsia"/>
          <w:sz w:val="22"/>
          <w:lang w:val="en-US" w:eastAsia="ja-JP"/>
        </w:rPr>
        <w:t>NR should support both data and control with the same numerology</w:t>
      </w:r>
    </w:p>
    <w:p w:rsidR="0072230B" w:rsidRPr="00EF5D82" w:rsidRDefault="0072230B" w:rsidP="00EF5D82">
      <w:pPr>
        <w:pStyle w:val="ListParagraph"/>
        <w:numPr>
          <w:ilvl w:val="0"/>
          <w:numId w:val="28"/>
        </w:numPr>
        <w:ind w:firstLineChars="0"/>
        <w:rPr>
          <w:rFonts w:eastAsia="MS Mincho"/>
          <w:sz w:val="22"/>
          <w:lang w:val="en-US" w:eastAsia="ja-JP"/>
        </w:rPr>
      </w:pPr>
      <w:r w:rsidRPr="00EF5D82">
        <w:rPr>
          <w:rFonts w:eastAsia="MS Mincho"/>
          <w:sz w:val="22"/>
          <w:lang w:val="en-US" w:eastAsia="ja-JP"/>
        </w:rPr>
        <w:t>Study impact and benefits of allowing the transmission of DL control information and data transmission to a UE within the same slot interval using different numerologies</w:t>
      </w:r>
      <w:r w:rsidRPr="00EF5D82">
        <w:rPr>
          <w:rFonts w:eastAsia="MS Mincho" w:hint="eastAsia"/>
          <w:sz w:val="22"/>
          <w:lang w:val="en-US" w:eastAsia="ja-JP"/>
        </w:rPr>
        <w:t xml:space="preserve"> in TDM or FDM manner</w:t>
      </w:r>
    </w:p>
    <w:p w:rsidR="0072230B" w:rsidRPr="00EF5D82" w:rsidRDefault="0072230B" w:rsidP="00EF5D82">
      <w:pPr>
        <w:pStyle w:val="ListParagraph"/>
        <w:numPr>
          <w:ilvl w:val="1"/>
          <w:numId w:val="28"/>
        </w:numPr>
        <w:ind w:firstLineChars="0"/>
        <w:rPr>
          <w:rFonts w:eastAsia="MS Mincho"/>
          <w:sz w:val="22"/>
          <w:lang w:val="en-US" w:eastAsia="ja-JP"/>
        </w:rPr>
      </w:pPr>
      <w:r w:rsidRPr="00EF5D82">
        <w:rPr>
          <w:rFonts w:eastAsia="MS Mincho" w:hint="eastAsia"/>
          <w:sz w:val="22"/>
          <w:lang w:val="en-US" w:eastAsia="ja-JP"/>
        </w:rPr>
        <w:t>Above may apply both slot and mini-slot</w:t>
      </w:r>
    </w:p>
    <w:p w:rsidR="0072230B" w:rsidRPr="00EF5D82" w:rsidRDefault="0072230B" w:rsidP="00EF5D82">
      <w:pPr>
        <w:pStyle w:val="ListParagraph"/>
        <w:numPr>
          <w:ilvl w:val="0"/>
          <w:numId w:val="28"/>
        </w:numPr>
        <w:ind w:firstLineChars="0"/>
        <w:rPr>
          <w:rFonts w:eastAsia="MS Mincho"/>
          <w:sz w:val="22"/>
          <w:lang w:val="en-US" w:eastAsia="ja-JP"/>
        </w:rPr>
      </w:pPr>
      <w:r w:rsidRPr="00EF5D82">
        <w:rPr>
          <w:rFonts w:eastAsia="MS Mincho"/>
          <w:sz w:val="22"/>
          <w:lang w:val="en-US" w:eastAsia="ja-JP"/>
        </w:rPr>
        <w:t>Study impact and benefits of allowing the transmission of uplink control information and data transmission from a UE within the same slot interval using different numerologies</w:t>
      </w:r>
      <w:r w:rsidRPr="00EF5D82">
        <w:rPr>
          <w:rFonts w:eastAsia="MS Mincho" w:hint="eastAsia"/>
          <w:sz w:val="22"/>
          <w:lang w:val="en-US" w:eastAsia="ja-JP"/>
        </w:rPr>
        <w:t xml:space="preserve"> in TDM or FDM manner</w:t>
      </w:r>
    </w:p>
    <w:p w:rsidR="0072230B" w:rsidRPr="00EF5D82" w:rsidRDefault="0072230B" w:rsidP="00EF5D82">
      <w:pPr>
        <w:pStyle w:val="ListParagraph"/>
        <w:numPr>
          <w:ilvl w:val="1"/>
          <w:numId w:val="28"/>
        </w:numPr>
        <w:ind w:firstLineChars="0"/>
        <w:rPr>
          <w:rFonts w:eastAsia="MS Mincho"/>
          <w:sz w:val="22"/>
          <w:lang w:val="en-US" w:eastAsia="ja-JP"/>
        </w:rPr>
      </w:pPr>
      <w:r w:rsidRPr="00EF5D82">
        <w:rPr>
          <w:rFonts w:eastAsia="MS Mincho" w:hint="eastAsia"/>
          <w:sz w:val="22"/>
          <w:lang w:val="en-US" w:eastAsia="ja-JP"/>
        </w:rPr>
        <w:t>Above may apply both slot and mini-slot</w:t>
      </w:r>
    </w:p>
    <w:p w:rsidR="0072230B" w:rsidRPr="00EF5D82" w:rsidRDefault="0072230B" w:rsidP="00EF5D82">
      <w:pPr>
        <w:pStyle w:val="ListParagraph"/>
        <w:numPr>
          <w:ilvl w:val="0"/>
          <w:numId w:val="28"/>
        </w:numPr>
        <w:ind w:firstLineChars="0"/>
        <w:rPr>
          <w:rFonts w:eastAsia="MS Mincho"/>
          <w:sz w:val="22"/>
          <w:lang w:val="en-US" w:eastAsia="ja-JP"/>
        </w:rPr>
      </w:pPr>
      <w:r w:rsidRPr="00EF5D82">
        <w:rPr>
          <w:rFonts w:eastAsia="MS Mincho"/>
          <w:sz w:val="22"/>
          <w:lang w:val="en-US" w:eastAsia="ja-JP"/>
        </w:rPr>
        <w:t>Followings applies both DL and UL</w:t>
      </w:r>
    </w:p>
    <w:p w:rsidR="0072230B" w:rsidRPr="00EF5D82" w:rsidRDefault="0072230B" w:rsidP="00EF5D82">
      <w:pPr>
        <w:pStyle w:val="ListParagraph"/>
        <w:numPr>
          <w:ilvl w:val="1"/>
          <w:numId w:val="28"/>
        </w:numPr>
        <w:ind w:firstLineChars="0"/>
        <w:rPr>
          <w:rFonts w:eastAsia="MS Mincho"/>
          <w:sz w:val="22"/>
          <w:lang w:val="en-US" w:eastAsia="ja-JP"/>
        </w:rPr>
      </w:pPr>
      <w:r w:rsidRPr="00EF5D82">
        <w:rPr>
          <w:rFonts w:eastAsia="MS Mincho"/>
          <w:sz w:val="22"/>
          <w:lang w:val="en-US" w:eastAsia="ja-JP"/>
        </w:rPr>
        <w:t>The associated DM</w:t>
      </w:r>
      <w:r w:rsidRPr="00EF5D82">
        <w:rPr>
          <w:rFonts w:eastAsia="MS Mincho" w:hint="eastAsia"/>
          <w:sz w:val="22"/>
          <w:lang w:val="en-US" w:eastAsia="ja-JP"/>
        </w:rPr>
        <w:t>-</w:t>
      </w:r>
      <w:r w:rsidRPr="00EF5D82">
        <w:rPr>
          <w:rFonts w:eastAsia="MS Mincho"/>
          <w:sz w:val="22"/>
          <w:lang w:val="en-US" w:eastAsia="ja-JP"/>
        </w:rPr>
        <w:t>RS for data</w:t>
      </w:r>
      <w:r w:rsidRPr="00EF5D82">
        <w:rPr>
          <w:rFonts w:eastAsia="MS Mincho" w:hint="eastAsia"/>
          <w:sz w:val="22"/>
          <w:lang w:val="en-US" w:eastAsia="ja-JP"/>
        </w:rPr>
        <w:t>/control</w:t>
      </w:r>
      <w:r w:rsidRPr="00EF5D82">
        <w:rPr>
          <w:rFonts w:eastAsia="MS Mincho"/>
          <w:sz w:val="22"/>
          <w:lang w:val="en-US" w:eastAsia="ja-JP"/>
        </w:rPr>
        <w:t xml:space="preserve"> transmission still uses the same numerology as the data</w:t>
      </w:r>
      <w:r w:rsidRPr="00EF5D82">
        <w:rPr>
          <w:rFonts w:eastAsia="MS Mincho" w:hint="eastAsia"/>
          <w:sz w:val="22"/>
          <w:lang w:val="en-US" w:eastAsia="ja-JP"/>
        </w:rPr>
        <w:t>/control</w:t>
      </w:r>
      <w:r w:rsidRPr="00EF5D82">
        <w:rPr>
          <w:rFonts w:eastAsia="MS Mincho"/>
          <w:sz w:val="22"/>
          <w:lang w:val="en-US" w:eastAsia="ja-JP"/>
        </w:rPr>
        <w:t xml:space="preserve"> transmission</w:t>
      </w:r>
    </w:p>
    <w:p w:rsidR="0072230B" w:rsidRPr="00EF5D82" w:rsidRDefault="0072230B" w:rsidP="00EF5D82">
      <w:pPr>
        <w:pStyle w:val="ListParagraph"/>
        <w:numPr>
          <w:ilvl w:val="1"/>
          <w:numId w:val="28"/>
        </w:numPr>
        <w:ind w:firstLineChars="0"/>
        <w:rPr>
          <w:rFonts w:eastAsia="MS Mincho"/>
          <w:sz w:val="22"/>
          <w:lang w:val="en-US" w:eastAsia="ja-JP"/>
        </w:rPr>
      </w:pPr>
      <w:r w:rsidRPr="00EF5D82">
        <w:rPr>
          <w:rFonts w:eastAsia="MS Mincho"/>
          <w:sz w:val="22"/>
          <w:lang w:val="en-US" w:eastAsia="ja-JP"/>
        </w:rPr>
        <w:t>FFS: Control channel performance under different numerologies, Overhead saving, Control channel capacity; Quantify timeline saving</w:t>
      </w:r>
      <w:r w:rsidRPr="00EF5D82">
        <w:rPr>
          <w:rFonts w:eastAsia="MS Mincho" w:hint="eastAsia"/>
          <w:sz w:val="22"/>
          <w:lang w:val="en-US" w:eastAsia="ja-JP"/>
        </w:rPr>
        <w:t>, UE complexity</w:t>
      </w:r>
    </w:p>
    <w:p w:rsidR="0072230B" w:rsidRDefault="0072230B" w:rsidP="0072230B">
      <w:pPr>
        <w:rPr>
          <w:sz w:val="22"/>
          <w:lang w:val="en-US"/>
        </w:rPr>
      </w:pPr>
    </w:p>
    <w:p w:rsidR="0072230B" w:rsidRDefault="0072230B" w:rsidP="0072230B">
      <w:pPr>
        <w:rPr>
          <w:sz w:val="22"/>
          <w:lang w:val="en-US"/>
        </w:rPr>
      </w:pPr>
    </w:p>
    <w:p w:rsidR="0072230B" w:rsidRDefault="00ED6C5F" w:rsidP="00EF5D82">
      <w:pPr>
        <w:pStyle w:val="Heading1"/>
        <w:rPr>
          <w:lang w:val="en-US"/>
        </w:rPr>
      </w:pPr>
      <w:r>
        <w:rPr>
          <w:lang w:val="en-US"/>
        </w:rPr>
        <w:lastRenderedPageBreak/>
        <w:t>Need for temporal granularity in</w:t>
      </w:r>
      <w:r w:rsidR="00F96E54">
        <w:rPr>
          <w:lang w:val="en-US"/>
        </w:rPr>
        <w:t xml:space="preserve"> </w:t>
      </w:r>
      <w:proofErr w:type="spellStart"/>
      <w:r w:rsidR="00F96E54">
        <w:rPr>
          <w:lang w:val="en-US"/>
        </w:rPr>
        <w:t>mm</w:t>
      </w:r>
      <w:r w:rsidR="00EF5D82">
        <w:rPr>
          <w:lang w:val="en-US"/>
        </w:rPr>
        <w:t>W</w:t>
      </w:r>
      <w:proofErr w:type="spellEnd"/>
    </w:p>
    <w:p w:rsidR="00EF5D82" w:rsidRDefault="00EF5D82" w:rsidP="00EF5D82">
      <w:pPr>
        <w:rPr>
          <w:lang w:val="en-US"/>
        </w:rPr>
      </w:pPr>
    </w:p>
    <w:p w:rsidR="00EF5D82" w:rsidRDefault="00EF5D82" w:rsidP="00EF5D82">
      <w:pPr>
        <w:rPr>
          <w:lang w:val="en-US"/>
        </w:rPr>
      </w:pPr>
      <w:r>
        <w:rPr>
          <w:lang w:val="en-US"/>
        </w:rPr>
        <w:t xml:space="preserve">In MMW architectures, analog beamforming </w:t>
      </w:r>
      <w:proofErr w:type="gramStart"/>
      <w:r>
        <w:rPr>
          <w:lang w:val="en-US"/>
        </w:rPr>
        <w:t xml:space="preserve">is </w:t>
      </w:r>
      <w:r w:rsidR="001D5939">
        <w:rPr>
          <w:lang w:val="en-US"/>
        </w:rPr>
        <w:t>expected</w:t>
      </w:r>
      <w:proofErr w:type="gramEnd"/>
      <w:r w:rsidR="001D5939">
        <w:rPr>
          <w:lang w:val="en-US"/>
        </w:rPr>
        <w:t xml:space="preserve"> to be </w:t>
      </w:r>
      <w:r>
        <w:rPr>
          <w:lang w:val="en-US"/>
        </w:rPr>
        <w:t xml:space="preserve">the primary method of beamforming. </w:t>
      </w:r>
      <w:r w:rsidR="001D5939">
        <w:rPr>
          <w:lang w:val="en-US"/>
        </w:rPr>
        <w:t>Frequency m</w:t>
      </w:r>
      <w:r>
        <w:rPr>
          <w:lang w:val="en-US"/>
        </w:rPr>
        <w:t>ultiplexing</w:t>
      </w:r>
      <w:r w:rsidR="001D5939">
        <w:rPr>
          <w:lang w:val="en-US"/>
        </w:rPr>
        <w:t xml:space="preserve"> many users within the same symbol by widening the beam is inefficient, and TDM of users is preferable.</w:t>
      </w:r>
    </w:p>
    <w:p w:rsidR="001D5939" w:rsidRDefault="001D5939" w:rsidP="00EF5D82">
      <w:pPr>
        <w:rPr>
          <w:lang w:val="en-US"/>
        </w:rPr>
      </w:pPr>
    </w:p>
    <w:p w:rsidR="001D5939" w:rsidRDefault="001D5939" w:rsidP="001D5939">
      <w:pPr>
        <w:keepNext/>
        <w:jc w:val="center"/>
      </w:pPr>
      <w:r>
        <w:rPr>
          <w:noProof/>
          <w:lang w:val="en-US"/>
        </w:rPr>
        <w:drawing>
          <wp:inline distT="0" distB="0" distL="0" distR="0" wp14:anchorId="6EE9288E" wp14:editId="01C5B4F8">
            <wp:extent cx="4123723" cy="2039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28064" cy="2041807"/>
                    </a:xfrm>
                    <a:prstGeom prst="rect">
                      <a:avLst/>
                    </a:prstGeom>
                    <a:noFill/>
                  </pic:spPr>
                </pic:pic>
              </a:graphicData>
            </a:graphic>
          </wp:inline>
        </w:drawing>
      </w:r>
    </w:p>
    <w:p w:rsidR="001D5939" w:rsidRDefault="001D5939" w:rsidP="001D5939">
      <w:pPr>
        <w:pStyle w:val="Caption"/>
        <w:jc w:val="center"/>
      </w:pPr>
      <w:r>
        <w:t xml:space="preserve">Figure </w:t>
      </w:r>
      <w:r>
        <w:fldChar w:fldCharType="begin"/>
      </w:r>
      <w:r>
        <w:instrText xml:space="preserve"> SEQ Figure \* ARABIC </w:instrText>
      </w:r>
      <w:r>
        <w:fldChar w:fldCharType="separate"/>
      </w:r>
      <w:r w:rsidR="00ED6C5F">
        <w:rPr>
          <w:noProof/>
        </w:rPr>
        <w:t>1</w:t>
      </w:r>
      <w:r>
        <w:fldChar w:fldCharType="end"/>
      </w:r>
      <w:r>
        <w:t xml:space="preserve">: TDM of users vs. FDM of users in </w:t>
      </w:r>
      <w:proofErr w:type="spellStart"/>
      <w:r>
        <w:t>mmw</w:t>
      </w:r>
      <w:proofErr w:type="spellEnd"/>
    </w:p>
    <w:p w:rsidR="001D5939" w:rsidRDefault="001D5939" w:rsidP="001D5939">
      <w:pPr>
        <w:rPr>
          <w:lang w:val="en-US"/>
        </w:rPr>
      </w:pPr>
    </w:p>
    <w:p w:rsidR="001D5939" w:rsidRDefault="001D5939" w:rsidP="001D5939">
      <w:pPr>
        <w:rPr>
          <w:lang w:val="en-US"/>
        </w:rPr>
      </w:pPr>
      <w:r>
        <w:rPr>
          <w:lang w:val="en-US"/>
        </w:rPr>
        <w:t xml:space="preserve">However, in order to provide sufficient scheduling granularity, we would like to allow smaller intervals/mini-slots that </w:t>
      </w:r>
      <w:proofErr w:type="gramStart"/>
      <w:r>
        <w:rPr>
          <w:lang w:val="en-US"/>
        </w:rPr>
        <w:t>can be scheduled</w:t>
      </w:r>
      <w:proofErr w:type="gramEnd"/>
      <w:r>
        <w:rPr>
          <w:lang w:val="en-US"/>
        </w:rPr>
        <w:t xml:space="preserve"> towards a given user. According to the earlier agreements, a single slot for typical </w:t>
      </w:r>
      <w:proofErr w:type="spellStart"/>
      <w:r>
        <w:rPr>
          <w:lang w:val="en-US"/>
        </w:rPr>
        <w:t>mmw</w:t>
      </w:r>
      <w:proofErr w:type="spellEnd"/>
      <w:r>
        <w:rPr>
          <w:lang w:val="en-US"/>
        </w:rPr>
        <w:t xml:space="preserve"> use case may be 14 symbols long (120kHz subcarrier spacing)</w:t>
      </w:r>
      <w:r w:rsidR="00AA226D">
        <w:rPr>
          <w:lang w:val="en-US"/>
        </w:rPr>
        <w:t xml:space="preserve">. </w:t>
      </w:r>
    </w:p>
    <w:p w:rsidR="00AA226D" w:rsidRDefault="00AA226D" w:rsidP="001D5939">
      <w:pPr>
        <w:rPr>
          <w:lang w:val="en-US"/>
        </w:rPr>
      </w:pPr>
    </w:p>
    <w:p w:rsidR="00ED6C5F" w:rsidRDefault="00AA226D" w:rsidP="00ED6C5F">
      <w:pPr>
        <w:rPr>
          <w:lang w:val="en-US"/>
        </w:rPr>
      </w:pPr>
      <w:r>
        <w:rPr>
          <w:lang w:val="en-US"/>
        </w:rPr>
        <w:t xml:space="preserve">Multiple smaller transmission units or mini-slots </w:t>
      </w:r>
      <w:proofErr w:type="gramStart"/>
      <w:r>
        <w:rPr>
          <w:lang w:val="en-US"/>
        </w:rPr>
        <w:t>can be defined</w:t>
      </w:r>
      <w:proofErr w:type="gramEnd"/>
      <w:r>
        <w:rPr>
          <w:lang w:val="en-US"/>
        </w:rPr>
        <w:t xml:space="preserve"> inside a typical MMW slot.</w:t>
      </w:r>
      <w:r w:rsidR="00ED6C5F">
        <w:rPr>
          <w:lang w:val="en-US"/>
        </w:rPr>
        <w:t xml:space="preserve"> The following section describes possible options for the definition of mini-slots.</w:t>
      </w:r>
    </w:p>
    <w:p w:rsidR="00ED6C5F" w:rsidRDefault="00ED6C5F" w:rsidP="00ED6C5F">
      <w:pPr>
        <w:rPr>
          <w:lang w:val="en-US"/>
        </w:rPr>
      </w:pPr>
      <w:bookmarkStart w:id="0" w:name="_GoBack"/>
      <w:bookmarkEnd w:id="0"/>
    </w:p>
    <w:p w:rsidR="00ED6C5F" w:rsidRDefault="00ED6C5F" w:rsidP="00ED6C5F">
      <w:pPr>
        <w:rPr>
          <w:lang w:val="en-US"/>
        </w:rPr>
      </w:pPr>
    </w:p>
    <w:p w:rsidR="00ED6C5F" w:rsidRDefault="00F96E54" w:rsidP="00ED6C5F">
      <w:pPr>
        <w:pStyle w:val="Heading1"/>
        <w:rPr>
          <w:lang w:val="en-US"/>
        </w:rPr>
      </w:pPr>
      <w:r>
        <w:rPr>
          <w:lang w:val="en-US"/>
        </w:rPr>
        <w:t xml:space="preserve">Mini-slot definitions for </w:t>
      </w:r>
      <w:proofErr w:type="spellStart"/>
      <w:r>
        <w:rPr>
          <w:lang w:val="en-US"/>
        </w:rPr>
        <w:t>mm</w:t>
      </w:r>
      <w:r w:rsidR="00ED6C5F">
        <w:rPr>
          <w:lang w:val="en-US"/>
        </w:rPr>
        <w:t>W</w:t>
      </w:r>
      <w:proofErr w:type="spellEnd"/>
    </w:p>
    <w:p w:rsidR="00ED6C5F" w:rsidRDefault="00ED6C5F" w:rsidP="00ED6C5F">
      <w:pPr>
        <w:rPr>
          <w:lang w:val="en-US"/>
        </w:rPr>
      </w:pPr>
    </w:p>
    <w:p w:rsidR="004F2276" w:rsidRDefault="00EC277F" w:rsidP="00ED6C5F">
      <w:pPr>
        <w:rPr>
          <w:lang w:val="en-US"/>
        </w:rPr>
      </w:pPr>
      <w:r>
        <w:rPr>
          <w:lang w:val="en-US"/>
        </w:rPr>
        <w:t>A typical slot may contain a DL control region at the beginning of the slot and an UL control region in the end.</w:t>
      </w:r>
      <w:r w:rsidR="00A36DBA">
        <w:rPr>
          <w:lang w:val="en-US"/>
        </w:rPr>
        <w:t xml:space="preserve"> Within this slot, there can be more than one mini-slot. In one possible option</w:t>
      </w:r>
      <w:r w:rsidR="004F2276">
        <w:rPr>
          <w:lang w:val="en-US"/>
        </w:rPr>
        <w:t xml:space="preserve"> (Option 1)</w:t>
      </w:r>
      <w:r w:rsidR="00A36DBA">
        <w:rPr>
          <w:lang w:val="en-US"/>
        </w:rPr>
        <w:t xml:space="preserve">, the DL and UL control is </w:t>
      </w:r>
      <w:proofErr w:type="spellStart"/>
      <w:r w:rsidR="00A36DBA">
        <w:rPr>
          <w:lang w:val="en-US"/>
        </w:rPr>
        <w:t>beamformed</w:t>
      </w:r>
      <w:proofErr w:type="spellEnd"/>
      <w:r w:rsidR="00A36DBA">
        <w:rPr>
          <w:lang w:val="en-US"/>
        </w:rPr>
        <w:t xml:space="preserve"> in a common manner for </w:t>
      </w:r>
      <w:r w:rsidR="004F2276">
        <w:rPr>
          <w:lang w:val="en-US"/>
        </w:rPr>
        <w:t xml:space="preserve">the whole slot. </w:t>
      </w:r>
    </w:p>
    <w:p w:rsidR="004F2276" w:rsidRDefault="004F2276" w:rsidP="00ED6C5F">
      <w:pPr>
        <w:rPr>
          <w:lang w:val="en-US"/>
        </w:rPr>
      </w:pPr>
    </w:p>
    <w:p w:rsidR="00ED6C5F" w:rsidRPr="00ED6C5F" w:rsidRDefault="004F2276" w:rsidP="00ED6C5F">
      <w:pPr>
        <w:rPr>
          <w:lang w:val="en-US"/>
        </w:rPr>
      </w:pPr>
      <w:r>
        <w:rPr>
          <w:lang w:val="en-US"/>
        </w:rPr>
        <w:t xml:space="preserve">An advantage with this approach is that the number of mini-slots within the slot does not affect the numerology/number of symbols of the DL or UL control. </w:t>
      </w:r>
    </w:p>
    <w:p w:rsidR="00ED6C5F" w:rsidRDefault="00ED6C5F" w:rsidP="00ED6C5F">
      <w:pPr>
        <w:rPr>
          <w:lang w:val="en-US"/>
        </w:rPr>
      </w:pPr>
    </w:p>
    <w:p w:rsidR="00ED6C5F" w:rsidRDefault="00ED6C5F" w:rsidP="00ED6C5F">
      <w:pPr>
        <w:rPr>
          <w:lang w:val="en-US"/>
        </w:rPr>
      </w:pPr>
    </w:p>
    <w:p w:rsidR="00ED6C5F" w:rsidRDefault="00ED6C5F" w:rsidP="00ED6C5F">
      <w:pPr>
        <w:keepNext/>
      </w:pPr>
      <w:r>
        <w:rPr>
          <w:noProof/>
          <w:lang w:val="en-US"/>
        </w:rPr>
        <w:lastRenderedPageBreak/>
        <w:drawing>
          <wp:inline distT="0" distB="0" distL="0" distR="0" wp14:anchorId="3FF54A80" wp14:editId="4037D908">
            <wp:extent cx="5131238" cy="765958"/>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1478" cy="789878"/>
                    </a:xfrm>
                    <a:prstGeom prst="rect">
                      <a:avLst/>
                    </a:prstGeom>
                    <a:noFill/>
                  </pic:spPr>
                </pic:pic>
              </a:graphicData>
            </a:graphic>
          </wp:inline>
        </w:drawing>
      </w:r>
    </w:p>
    <w:p w:rsidR="00ED6C5F" w:rsidRDefault="00A36DBA" w:rsidP="00ED6C5F">
      <w:pPr>
        <w:pStyle w:val="Caption"/>
        <w:jc w:val="center"/>
        <w:rPr>
          <w:lang w:val="en-US"/>
        </w:rPr>
      </w:pPr>
      <w:r>
        <w:t>O</w:t>
      </w:r>
      <w:r w:rsidR="00ED6C5F">
        <w:t xml:space="preserve">ption </w:t>
      </w:r>
      <w:r w:rsidR="00ED6C5F">
        <w:fldChar w:fldCharType="begin"/>
      </w:r>
      <w:r w:rsidR="00ED6C5F">
        <w:instrText xml:space="preserve"> SEQ option \* ARABIC </w:instrText>
      </w:r>
      <w:r w:rsidR="00ED6C5F">
        <w:fldChar w:fldCharType="separate"/>
      </w:r>
      <w:r w:rsidR="00ED6C5F">
        <w:rPr>
          <w:noProof/>
        </w:rPr>
        <w:t>1</w:t>
      </w:r>
      <w:r w:rsidR="00ED6C5F">
        <w:fldChar w:fldCharType="end"/>
      </w:r>
    </w:p>
    <w:p w:rsidR="00ED6C5F" w:rsidRDefault="00ED6C5F" w:rsidP="00ED6C5F">
      <w:pPr>
        <w:keepNext/>
        <w:jc w:val="center"/>
        <w:rPr>
          <w:noProof/>
          <w:lang w:val="en-US"/>
        </w:rPr>
      </w:pPr>
    </w:p>
    <w:p w:rsidR="004F2276" w:rsidRDefault="004F2276" w:rsidP="004F2276">
      <w:pPr>
        <w:keepNext/>
        <w:rPr>
          <w:noProof/>
          <w:lang w:val="en-US"/>
        </w:rPr>
      </w:pPr>
      <w:r>
        <w:rPr>
          <w:noProof/>
          <w:lang w:val="en-US"/>
        </w:rPr>
        <w:t xml:space="preserve">Another option </w:t>
      </w:r>
      <w:r w:rsidR="009306B0">
        <w:rPr>
          <w:noProof/>
          <w:lang w:val="en-US"/>
        </w:rPr>
        <w:t xml:space="preserve">(option 2) </w:t>
      </w:r>
      <w:r>
        <w:rPr>
          <w:noProof/>
          <w:lang w:val="en-US"/>
        </w:rPr>
        <w:t xml:space="preserve">is for the control symbols on DL and/or uplink to be reserved for each mini-slot. Thus, the DL beams and data beams can be chosen on a per </w:t>
      </w:r>
      <w:r w:rsidR="009306B0">
        <w:rPr>
          <w:noProof/>
          <w:lang w:val="en-US"/>
        </w:rPr>
        <w:t>user basis, and the full beamforming gain can be made available; however a split symbol or multi symbol approach would have to be utilized and more information regarding the control structure needs to be communicated.</w:t>
      </w:r>
    </w:p>
    <w:p w:rsidR="004F2276" w:rsidRDefault="004F2276" w:rsidP="00ED6C5F">
      <w:pPr>
        <w:keepNext/>
        <w:jc w:val="center"/>
        <w:rPr>
          <w:noProof/>
          <w:lang w:val="en-US"/>
        </w:rPr>
      </w:pPr>
    </w:p>
    <w:p w:rsidR="00ED6C5F" w:rsidRDefault="00ED6C5F" w:rsidP="00ED6C5F">
      <w:pPr>
        <w:keepNext/>
        <w:jc w:val="center"/>
      </w:pPr>
      <w:r>
        <w:rPr>
          <w:noProof/>
          <w:lang w:val="en-US"/>
        </w:rPr>
        <w:drawing>
          <wp:inline distT="0" distB="0" distL="0" distR="0" wp14:anchorId="4B204560" wp14:editId="301242DA">
            <wp:extent cx="4304805" cy="212073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82950" cy="2159227"/>
                    </a:xfrm>
                    <a:prstGeom prst="rect">
                      <a:avLst/>
                    </a:prstGeom>
                    <a:noFill/>
                  </pic:spPr>
                </pic:pic>
              </a:graphicData>
            </a:graphic>
          </wp:inline>
        </w:drawing>
      </w:r>
    </w:p>
    <w:p w:rsidR="00ED6C5F" w:rsidRDefault="00A36DBA" w:rsidP="00ED6C5F">
      <w:pPr>
        <w:pStyle w:val="Caption"/>
        <w:jc w:val="center"/>
      </w:pPr>
      <w:r>
        <w:t>O</w:t>
      </w:r>
      <w:r w:rsidR="00ED6C5F">
        <w:t xml:space="preserve">ption </w:t>
      </w:r>
      <w:r w:rsidR="00ED6C5F">
        <w:fldChar w:fldCharType="begin"/>
      </w:r>
      <w:r w:rsidR="00ED6C5F">
        <w:instrText xml:space="preserve"> SEQ option \* ARABIC </w:instrText>
      </w:r>
      <w:r w:rsidR="00ED6C5F">
        <w:fldChar w:fldCharType="separate"/>
      </w:r>
      <w:r w:rsidR="00ED6C5F">
        <w:rPr>
          <w:noProof/>
        </w:rPr>
        <w:t>2</w:t>
      </w:r>
      <w:r w:rsidR="00ED6C5F">
        <w:fldChar w:fldCharType="end"/>
      </w:r>
    </w:p>
    <w:p w:rsidR="00ED6C5F" w:rsidRDefault="00ED6C5F" w:rsidP="00ED6C5F">
      <w:pPr>
        <w:keepNext/>
      </w:pPr>
    </w:p>
    <w:p w:rsidR="00ED6C5F" w:rsidRDefault="00ED6C5F" w:rsidP="00ED6C5F">
      <w:pPr>
        <w:keepNext/>
      </w:pPr>
    </w:p>
    <w:p w:rsidR="00262999" w:rsidRDefault="00262999" w:rsidP="00ED6C5F">
      <w:pPr>
        <w:keepNext/>
      </w:pPr>
      <w:r>
        <w:t xml:space="preserve">In option 3, the DL control beams </w:t>
      </w:r>
      <w:proofErr w:type="gramStart"/>
      <w:r>
        <w:t>are provided</w:t>
      </w:r>
      <w:proofErr w:type="gramEnd"/>
      <w:r>
        <w:t xml:space="preserve"> at the beginning of each mini-slot. In this case, the DL control and the data are contiguous per user and sharing of reference signals between DL and data is possible if the beams are also the same. </w:t>
      </w:r>
      <w:r w:rsidR="00923686">
        <w:t xml:space="preserve">However, there is an impact on the wake-up/sleep aspects of the receiver – as the UE </w:t>
      </w:r>
      <w:proofErr w:type="gramStart"/>
      <w:r w:rsidR="00923686">
        <w:t>may be scheduled</w:t>
      </w:r>
      <w:proofErr w:type="gramEnd"/>
      <w:r w:rsidR="00923686">
        <w:t xml:space="preserve"> at any potential mini-slot start </w:t>
      </w:r>
      <w:r w:rsidR="00923686">
        <w:lastRenderedPageBreak/>
        <w:t xml:space="preserve">location. The UL can still be aggregated (on </w:t>
      </w:r>
      <w:proofErr w:type="gramStart"/>
      <w:r w:rsidR="00923686">
        <w:t>a per</w:t>
      </w:r>
      <w:proofErr w:type="gramEnd"/>
      <w:r w:rsidR="00923686">
        <w:t xml:space="preserve"> direction split symbol or a common beam) at the end of the slot – thus the gap for DL </w:t>
      </w:r>
      <w:r w:rsidR="00923686">
        <w:sym w:font="Wingdings" w:char="F0E0"/>
      </w:r>
      <w:r w:rsidR="00923686">
        <w:t xml:space="preserve"> UL transition is required only once.</w:t>
      </w:r>
    </w:p>
    <w:p w:rsidR="00ED6C5F" w:rsidRDefault="00ED6C5F" w:rsidP="00ED6C5F">
      <w:pPr>
        <w:keepNext/>
      </w:pPr>
    </w:p>
    <w:p w:rsidR="00ED6C5F" w:rsidRDefault="00ED6C5F" w:rsidP="00ED6C5F">
      <w:pPr>
        <w:keepNext/>
      </w:pPr>
    </w:p>
    <w:p w:rsidR="00ED6C5F" w:rsidRDefault="00ED6C5F" w:rsidP="00ED6C5F">
      <w:pPr>
        <w:keepNext/>
        <w:jc w:val="center"/>
      </w:pPr>
    </w:p>
    <w:p w:rsidR="00ED6C5F" w:rsidRDefault="00ED6C5F" w:rsidP="00ED6C5F">
      <w:pPr>
        <w:keepNext/>
        <w:jc w:val="center"/>
      </w:pPr>
      <w:r>
        <w:rPr>
          <w:noProof/>
          <w:lang w:val="en-US"/>
        </w:rPr>
        <w:drawing>
          <wp:inline distT="0" distB="0" distL="0" distR="0" wp14:anchorId="02CAC4AC" wp14:editId="37E7A113">
            <wp:extent cx="4381995" cy="1776958"/>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5985" cy="1827237"/>
                    </a:xfrm>
                    <a:prstGeom prst="rect">
                      <a:avLst/>
                    </a:prstGeom>
                    <a:noFill/>
                  </pic:spPr>
                </pic:pic>
              </a:graphicData>
            </a:graphic>
          </wp:inline>
        </w:drawing>
      </w:r>
    </w:p>
    <w:p w:rsidR="00ED6C5F" w:rsidRDefault="00A36DBA" w:rsidP="00ED6C5F">
      <w:pPr>
        <w:pStyle w:val="Caption"/>
        <w:jc w:val="center"/>
      </w:pPr>
      <w:r>
        <w:t>O</w:t>
      </w:r>
      <w:r w:rsidR="00ED6C5F">
        <w:t xml:space="preserve">ption </w:t>
      </w:r>
      <w:r w:rsidR="00ED6C5F">
        <w:fldChar w:fldCharType="begin"/>
      </w:r>
      <w:r w:rsidR="00ED6C5F">
        <w:instrText xml:space="preserve"> SEQ option \* ARABIC </w:instrText>
      </w:r>
      <w:r w:rsidR="00ED6C5F">
        <w:fldChar w:fldCharType="separate"/>
      </w:r>
      <w:r w:rsidR="00ED6C5F">
        <w:rPr>
          <w:noProof/>
        </w:rPr>
        <w:t>3</w:t>
      </w:r>
      <w:r w:rsidR="00ED6C5F">
        <w:fldChar w:fldCharType="end"/>
      </w:r>
    </w:p>
    <w:p w:rsidR="00ED6C5F" w:rsidRDefault="00ED6C5F" w:rsidP="00ED6C5F">
      <w:pPr>
        <w:keepNext/>
      </w:pPr>
    </w:p>
    <w:p w:rsidR="00ED6C5F" w:rsidRDefault="00923686" w:rsidP="00ED6C5F">
      <w:pPr>
        <w:keepNext/>
      </w:pPr>
      <w:r>
        <w:t>Option 4 is a fully flexible optio</w:t>
      </w:r>
      <w:r w:rsidR="0084419C">
        <w:t>n where each mini-slot has a DL control region, data transmission region and a UL control region. While this offers the most flexibility, the issues with wake-up/sleep as well as the overhead of the gap is increased.</w:t>
      </w:r>
    </w:p>
    <w:p w:rsidR="00ED6C5F" w:rsidRDefault="00ED6C5F" w:rsidP="00ED6C5F">
      <w:pPr>
        <w:keepNext/>
      </w:pPr>
    </w:p>
    <w:p w:rsidR="00ED6C5F" w:rsidRDefault="00ED6C5F" w:rsidP="00ED6C5F">
      <w:pPr>
        <w:keepNext/>
      </w:pPr>
    </w:p>
    <w:p w:rsidR="00ED6C5F" w:rsidRDefault="00ED6C5F" w:rsidP="00ED6C5F">
      <w:pPr>
        <w:keepNext/>
      </w:pPr>
    </w:p>
    <w:p w:rsidR="00AA226D" w:rsidRDefault="00ED6C5F" w:rsidP="001D5939">
      <w:pPr>
        <w:rPr>
          <w:lang w:val="en-US"/>
        </w:rPr>
      </w:pPr>
      <w:r>
        <w:rPr>
          <w:lang w:val="en-US"/>
        </w:rPr>
        <w:t xml:space="preserve"> </w:t>
      </w:r>
    </w:p>
    <w:p w:rsidR="00ED6C5F" w:rsidRDefault="00ED6C5F" w:rsidP="00ED6C5F">
      <w:pPr>
        <w:keepNext/>
        <w:jc w:val="center"/>
      </w:pPr>
      <w:r>
        <w:rPr>
          <w:noProof/>
          <w:lang w:val="en-US"/>
        </w:rPr>
        <w:drawing>
          <wp:inline distT="0" distB="0" distL="0" distR="0" wp14:anchorId="5FC56D49" wp14:editId="33FE6DC6">
            <wp:extent cx="3616036" cy="1470793"/>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9393" cy="1484361"/>
                    </a:xfrm>
                    <a:prstGeom prst="rect">
                      <a:avLst/>
                    </a:prstGeom>
                    <a:noFill/>
                  </pic:spPr>
                </pic:pic>
              </a:graphicData>
            </a:graphic>
          </wp:inline>
        </w:drawing>
      </w:r>
    </w:p>
    <w:p w:rsidR="00ED6C5F" w:rsidRDefault="00A36DBA" w:rsidP="00ED6C5F">
      <w:pPr>
        <w:pStyle w:val="Caption"/>
        <w:jc w:val="center"/>
        <w:rPr>
          <w:lang w:val="en-US"/>
        </w:rPr>
      </w:pPr>
      <w:r>
        <w:t>O</w:t>
      </w:r>
      <w:r w:rsidR="00ED6C5F">
        <w:t xml:space="preserve">ption </w:t>
      </w:r>
      <w:r w:rsidR="00ED6C5F">
        <w:fldChar w:fldCharType="begin"/>
      </w:r>
      <w:r w:rsidR="00ED6C5F">
        <w:instrText xml:space="preserve"> SEQ option \* ARABIC </w:instrText>
      </w:r>
      <w:r w:rsidR="00ED6C5F">
        <w:fldChar w:fldCharType="separate"/>
      </w:r>
      <w:r w:rsidR="00ED6C5F">
        <w:rPr>
          <w:noProof/>
        </w:rPr>
        <w:t>4</w:t>
      </w:r>
      <w:r w:rsidR="00ED6C5F">
        <w:fldChar w:fldCharType="end"/>
      </w:r>
    </w:p>
    <w:p w:rsidR="00AA226D" w:rsidRDefault="00AA226D" w:rsidP="001D5939">
      <w:pPr>
        <w:rPr>
          <w:lang w:val="en-US"/>
        </w:rPr>
      </w:pPr>
    </w:p>
    <w:p w:rsidR="00AA226D" w:rsidRDefault="00AA226D" w:rsidP="001D5939">
      <w:pPr>
        <w:rPr>
          <w:lang w:val="en-US"/>
        </w:rPr>
      </w:pPr>
    </w:p>
    <w:p w:rsidR="001D5939" w:rsidRDefault="001D5939" w:rsidP="001D5939">
      <w:pPr>
        <w:rPr>
          <w:lang w:val="en-US"/>
        </w:rPr>
      </w:pPr>
    </w:p>
    <w:p w:rsidR="00AA226D" w:rsidRDefault="00AA226D" w:rsidP="001D5939">
      <w:pPr>
        <w:rPr>
          <w:lang w:val="en-US"/>
        </w:rPr>
      </w:pPr>
    </w:p>
    <w:p w:rsidR="001D5939" w:rsidRDefault="001D5939" w:rsidP="001D5939">
      <w:pPr>
        <w:rPr>
          <w:lang w:val="en-US"/>
        </w:rPr>
      </w:pPr>
      <w:r>
        <w:rPr>
          <w:lang w:val="en-US"/>
        </w:rPr>
        <w:t>Some key considerations for the mini-slot definition:</w:t>
      </w:r>
    </w:p>
    <w:p w:rsidR="001D5939" w:rsidRDefault="001D5939" w:rsidP="00AA226D">
      <w:pPr>
        <w:snapToGrid w:val="0"/>
        <w:spacing w:afterLines="50" w:after="120"/>
        <w:jc w:val="both"/>
        <w:rPr>
          <w:lang w:val="en-US"/>
        </w:rPr>
      </w:pPr>
    </w:p>
    <w:p w:rsidR="00AA226D" w:rsidRDefault="00AA226D" w:rsidP="00AA226D">
      <w:pPr>
        <w:pStyle w:val="ListParagraph"/>
        <w:numPr>
          <w:ilvl w:val="0"/>
          <w:numId w:val="30"/>
        </w:numPr>
        <w:snapToGrid w:val="0"/>
        <w:spacing w:afterLines="50" w:after="120"/>
        <w:ind w:firstLineChars="0"/>
        <w:jc w:val="both"/>
        <w:rPr>
          <w:lang w:val="en-US"/>
        </w:rPr>
      </w:pPr>
      <w:r w:rsidRPr="00AA226D">
        <w:rPr>
          <w:b/>
          <w:u w:val="single"/>
          <w:lang w:val="en-US"/>
        </w:rPr>
        <w:t>Scheduling of mini-slots in MMW</w:t>
      </w:r>
      <w:r>
        <w:rPr>
          <w:lang w:val="en-US"/>
        </w:rPr>
        <w:t xml:space="preserve">: </w:t>
      </w:r>
      <w:r w:rsidR="00A64EC9">
        <w:rPr>
          <w:lang w:val="en-US"/>
        </w:rPr>
        <w:t xml:space="preserve">Sharing of the same control symbol for scheduling multiple users (through the same port) implies loss of beamforming gain. Splitting the control symbol into multiple smaller control symbols allows for </w:t>
      </w:r>
      <w:proofErr w:type="spellStart"/>
      <w:r w:rsidR="00A64EC9">
        <w:rPr>
          <w:lang w:val="en-US"/>
        </w:rPr>
        <w:t>TDMing</w:t>
      </w:r>
      <w:proofErr w:type="spellEnd"/>
      <w:r w:rsidR="00A64EC9">
        <w:rPr>
          <w:lang w:val="en-US"/>
        </w:rPr>
        <w:t xml:space="preserve"> of the control on </w:t>
      </w:r>
      <w:r w:rsidR="00A64EC9">
        <w:rPr>
          <w:lang w:val="en-US"/>
        </w:rPr>
        <w:lastRenderedPageBreak/>
        <w:t>a per direction basis, but the shorter symbols have lesser protection against delay spread (assuming a fixed cyclic prefix overhead)</w:t>
      </w:r>
    </w:p>
    <w:p w:rsidR="00E33375" w:rsidRPr="00AA226D" w:rsidRDefault="00E33375" w:rsidP="00E33375">
      <w:pPr>
        <w:pStyle w:val="ListParagraph"/>
        <w:numPr>
          <w:ilvl w:val="0"/>
          <w:numId w:val="30"/>
        </w:numPr>
        <w:snapToGrid w:val="0"/>
        <w:spacing w:afterLines="50" w:after="120"/>
        <w:ind w:firstLineChars="0"/>
        <w:jc w:val="both"/>
        <w:rPr>
          <w:lang w:val="en-US"/>
        </w:rPr>
      </w:pPr>
      <w:r>
        <w:rPr>
          <w:b/>
          <w:u w:val="single"/>
          <w:lang w:val="en-US"/>
        </w:rPr>
        <w:t>Reference signals for the mini-slots</w:t>
      </w:r>
      <w:r>
        <w:rPr>
          <w:lang w:val="en-US"/>
        </w:rPr>
        <w:t xml:space="preserve">: </w:t>
      </w:r>
      <w:r w:rsidR="00262999">
        <w:rPr>
          <w:lang w:val="en-US"/>
        </w:rPr>
        <w:t xml:space="preserve">The reference signals for the demodulation of the mini-slot </w:t>
      </w:r>
      <w:proofErr w:type="gramStart"/>
      <w:r w:rsidR="00A64EC9">
        <w:rPr>
          <w:lang w:val="en-US"/>
        </w:rPr>
        <w:t>is</w:t>
      </w:r>
      <w:r w:rsidR="00262999">
        <w:rPr>
          <w:lang w:val="en-US"/>
        </w:rPr>
        <w:t xml:space="preserve"> provided</w:t>
      </w:r>
      <w:proofErr w:type="gramEnd"/>
      <w:r w:rsidR="00262999">
        <w:rPr>
          <w:lang w:val="en-US"/>
        </w:rPr>
        <w:t xml:space="preserve"> on a per-mini slot basis</w:t>
      </w:r>
      <w:r w:rsidR="00354006">
        <w:rPr>
          <w:lang w:val="en-US"/>
        </w:rPr>
        <w:t xml:space="preserve">. For option 3 and 4, in the case where the same beams </w:t>
      </w:r>
      <w:proofErr w:type="gramStart"/>
      <w:r w:rsidR="00354006">
        <w:rPr>
          <w:lang w:val="en-US"/>
        </w:rPr>
        <w:t>are used</w:t>
      </w:r>
      <w:proofErr w:type="gramEnd"/>
      <w:r w:rsidR="00354006">
        <w:rPr>
          <w:lang w:val="en-US"/>
        </w:rPr>
        <w:t xml:space="preserve"> for DL control and data, it is possible to share the reference signals.</w:t>
      </w:r>
    </w:p>
    <w:p w:rsidR="00E33375" w:rsidRPr="00AA226D" w:rsidRDefault="00E33375" w:rsidP="00E33375">
      <w:pPr>
        <w:pStyle w:val="ListParagraph"/>
        <w:numPr>
          <w:ilvl w:val="0"/>
          <w:numId w:val="30"/>
        </w:numPr>
        <w:snapToGrid w:val="0"/>
        <w:spacing w:afterLines="50" w:after="120"/>
        <w:ind w:firstLineChars="0"/>
        <w:jc w:val="both"/>
        <w:rPr>
          <w:lang w:val="en-US"/>
        </w:rPr>
      </w:pPr>
      <w:r>
        <w:rPr>
          <w:b/>
          <w:u w:val="single"/>
          <w:lang w:val="en-US"/>
        </w:rPr>
        <w:t>Power consumption and sleep/wake-up considerations</w:t>
      </w:r>
      <w:r>
        <w:rPr>
          <w:lang w:val="en-US"/>
        </w:rPr>
        <w:t xml:space="preserve">: </w:t>
      </w:r>
      <w:r w:rsidR="00A64EC9">
        <w:rPr>
          <w:lang w:val="en-US"/>
        </w:rPr>
        <w:t xml:space="preserve">An advantage with </w:t>
      </w:r>
      <w:r w:rsidR="00296DFE">
        <w:rPr>
          <w:lang w:val="en-US"/>
        </w:rPr>
        <w:t xml:space="preserve">aggregating all the DL control symbols at the beginning of a slot is the ability for a UE </w:t>
      </w:r>
      <w:proofErr w:type="gramStart"/>
      <w:r w:rsidR="00296DFE">
        <w:rPr>
          <w:lang w:val="en-US"/>
        </w:rPr>
        <w:t>to only observe</w:t>
      </w:r>
      <w:proofErr w:type="gramEnd"/>
      <w:r w:rsidR="00296DFE">
        <w:rPr>
          <w:lang w:val="en-US"/>
        </w:rPr>
        <w:t xml:space="preserve"> the first part of a slot/aggregation of slots and return to sleep if none of the mini-slots were intended for it. In option </w:t>
      </w:r>
      <w:proofErr w:type="gramStart"/>
      <w:r w:rsidR="00296DFE">
        <w:rPr>
          <w:lang w:val="en-US"/>
        </w:rPr>
        <w:t>3</w:t>
      </w:r>
      <w:proofErr w:type="gramEnd"/>
      <w:r w:rsidR="00296DFE">
        <w:rPr>
          <w:lang w:val="en-US"/>
        </w:rPr>
        <w:t xml:space="preserve"> or 4, there are multiple locations within the slot where a UE may have to check if it was scheduled.</w:t>
      </w:r>
    </w:p>
    <w:p w:rsidR="004F2276" w:rsidRPr="00296DFE" w:rsidRDefault="00E33375" w:rsidP="00D71D6E">
      <w:pPr>
        <w:pStyle w:val="ListParagraph"/>
        <w:numPr>
          <w:ilvl w:val="0"/>
          <w:numId w:val="30"/>
        </w:numPr>
        <w:snapToGrid w:val="0"/>
        <w:spacing w:afterLines="50" w:after="120"/>
        <w:ind w:firstLineChars="0"/>
        <w:jc w:val="both"/>
        <w:rPr>
          <w:lang w:val="en-US"/>
        </w:rPr>
      </w:pPr>
      <w:r w:rsidRPr="00296DFE">
        <w:rPr>
          <w:b/>
          <w:u w:val="single"/>
          <w:lang w:val="en-US"/>
        </w:rPr>
        <w:t>O</w:t>
      </w:r>
      <w:r w:rsidR="00296DFE" w:rsidRPr="00296DFE">
        <w:rPr>
          <w:b/>
          <w:u w:val="single"/>
          <w:lang w:val="en-US"/>
        </w:rPr>
        <w:t xml:space="preserve">verhead for turnaround and </w:t>
      </w:r>
      <w:r w:rsidR="004F2276" w:rsidRPr="00296DFE">
        <w:rPr>
          <w:b/>
          <w:u w:val="single"/>
          <w:lang w:val="en-US"/>
        </w:rPr>
        <w:t>ACK latency:</w:t>
      </w:r>
      <w:r w:rsidR="00296DFE" w:rsidRPr="00296DFE">
        <w:rPr>
          <w:b/>
          <w:u w:val="single"/>
          <w:lang w:val="en-US"/>
        </w:rPr>
        <w:t xml:space="preserve"> </w:t>
      </w:r>
      <w:r w:rsidR="00296DFE" w:rsidRPr="00296DFE">
        <w:rPr>
          <w:lang w:val="en-US"/>
        </w:rPr>
        <w:t>The overhead and ACK latency tend to trade off against each other. While options (1 -3) allow for amortizing a single gap for transmitting multiple downlink transmissions before receiving UL control from corresponding UEs, the latency is increased.</w:t>
      </w:r>
    </w:p>
    <w:p w:rsidR="004F2276" w:rsidRDefault="004F2276" w:rsidP="004F2276">
      <w:pPr>
        <w:pStyle w:val="Heading1"/>
        <w:rPr>
          <w:lang w:val="en-US"/>
        </w:rPr>
      </w:pPr>
      <w:r>
        <w:rPr>
          <w:lang w:val="en-US"/>
        </w:rPr>
        <w:t>Conclusions and proposals:</w:t>
      </w:r>
    </w:p>
    <w:p w:rsidR="00354006" w:rsidRDefault="00354006" w:rsidP="00354006">
      <w:pPr>
        <w:rPr>
          <w:lang w:val="en-US"/>
        </w:rPr>
      </w:pPr>
    </w:p>
    <w:p w:rsidR="00354006" w:rsidRDefault="00354006" w:rsidP="00354006">
      <w:pPr>
        <w:rPr>
          <w:lang w:val="en-US"/>
        </w:rPr>
      </w:pPr>
      <w:r>
        <w:rPr>
          <w:lang w:val="en-US"/>
        </w:rPr>
        <w:t xml:space="preserve">Multiple mini slot structures </w:t>
      </w:r>
      <w:proofErr w:type="gramStart"/>
      <w:r>
        <w:rPr>
          <w:lang w:val="en-US"/>
        </w:rPr>
        <w:t>were described</w:t>
      </w:r>
      <w:proofErr w:type="gramEnd"/>
      <w:r>
        <w:rPr>
          <w:lang w:val="en-US"/>
        </w:rPr>
        <w:t xml:space="preserve"> and the relative merits and disadvantages discussed. </w:t>
      </w:r>
    </w:p>
    <w:p w:rsidR="00354006" w:rsidRDefault="00354006" w:rsidP="00354006">
      <w:pPr>
        <w:rPr>
          <w:lang w:val="en-US"/>
        </w:rPr>
      </w:pPr>
    </w:p>
    <w:p w:rsidR="00A64EC9" w:rsidRDefault="00354006" w:rsidP="00354006">
      <w:pPr>
        <w:rPr>
          <w:b/>
          <w:lang w:val="en-US"/>
        </w:rPr>
      </w:pPr>
      <w:r w:rsidRPr="00A64EC9">
        <w:rPr>
          <w:b/>
          <w:lang w:val="en-US"/>
        </w:rPr>
        <w:t xml:space="preserve">Proposal 1: </w:t>
      </w:r>
      <w:r w:rsidR="00A64EC9" w:rsidRPr="00A64EC9">
        <w:rPr>
          <w:b/>
          <w:lang w:val="en-US"/>
        </w:rPr>
        <w:t xml:space="preserve">Support a structure with </w:t>
      </w:r>
      <w:proofErr w:type="gramStart"/>
      <w:r w:rsidR="00A64EC9" w:rsidRPr="00A64EC9">
        <w:rPr>
          <w:b/>
          <w:lang w:val="en-US"/>
        </w:rPr>
        <w:t>data demodulation reference signals</w:t>
      </w:r>
      <w:proofErr w:type="gramEnd"/>
      <w:r w:rsidR="00A64EC9" w:rsidRPr="00A64EC9">
        <w:rPr>
          <w:b/>
          <w:lang w:val="en-US"/>
        </w:rPr>
        <w:t xml:space="preserve"> on a per mini-slot basis. </w:t>
      </w:r>
    </w:p>
    <w:p w:rsidR="00A64EC9" w:rsidRDefault="00A64EC9" w:rsidP="00354006">
      <w:pPr>
        <w:rPr>
          <w:b/>
          <w:lang w:val="en-US"/>
        </w:rPr>
      </w:pPr>
    </w:p>
    <w:p w:rsidR="00354006" w:rsidRPr="00A64EC9" w:rsidRDefault="00A64EC9" w:rsidP="00354006">
      <w:pPr>
        <w:rPr>
          <w:b/>
          <w:lang w:val="en-US"/>
        </w:rPr>
      </w:pPr>
      <w:r>
        <w:rPr>
          <w:b/>
          <w:lang w:val="en-US"/>
        </w:rPr>
        <w:t xml:space="preserve">Proposal 2: </w:t>
      </w:r>
      <w:r w:rsidRPr="00A64EC9">
        <w:rPr>
          <w:b/>
          <w:lang w:val="en-US"/>
        </w:rPr>
        <w:t>Support ability to share reference signals across mini-slots if using the same beamforming.</w:t>
      </w:r>
    </w:p>
    <w:p w:rsidR="00A64EC9" w:rsidRPr="00A64EC9" w:rsidRDefault="00A64EC9" w:rsidP="00354006">
      <w:pPr>
        <w:rPr>
          <w:b/>
          <w:lang w:val="en-US"/>
        </w:rPr>
      </w:pPr>
    </w:p>
    <w:p w:rsidR="00A64EC9" w:rsidRDefault="00A64EC9" w:rsidP="00354006">
      <w:pPr>
        <w:rPr>
          <w:b/>
          <w:lang w:val="en-US"/>
        </w:rPr>
      </w:pPr>
      <w:r>
        <w:rPr>
          <w:b/>
          <w:lang w:val="en-US"/>
        </w:rPr>
        <w:t>Proposal 3</w:t>
      </w:r>
      <w:r w:rsidRPr="00A64EC9">
        <w:rPr>
          <w:b/>
          <w:lang w:val="en-US"/>
        </w:rPr>
        <w:t xml:space="preserve">: Study the proposed options for mini-slot configurations and down-select options </w:t>
      </w:r>
    </w:p>
    <w:p w:rsidR="00A64EC9" w:rsidRDefault="00A64EC9" w:rsidP="00354006">
      <w:pPr>
        <w:rPr>
          <w:b/>
          <w:lang w:val="en-US"/>
        </w:rPr>
      </w:pPr>
    </w:p>
    <w:p w:rsidR="00A64EC9" w:rsidRDefault="00A64EC9" w:rsidP="00A64EC9">
      <w:pPr>
        <w:pStyle w:val="Heading1"/>
        <w:rPr>
          <w:lang w:val="en-US"/>
        </w:rPr>
      </w:pPr>
      <w:r>
        <w:rPr>
          <w:lang w:val="en-US"/>
        </w:rPr>
        <w:t>References:</w:t>
      </w:r>
    </w:p>
    <w:p w:rsidR="00296DFE" w:rsidRDefault="00296DFE" w:rsidP="00296DFE">
      <w:pPr>
        <w:rPr>
          <w:lang w:val="en-US"/>
        </w:rPr>
      </w:pPr>
      <w:r>
        <w:rPr>
          <w:lang w:val="en-US"/>
        </w:rPr>
        <w:t xml:space="preserve">[1] R14-1612016 </w:t>
      </w:r>
      <w:r w:rsidRPr="00296DFE">
        <w:rPr>
          <w:lang w:val="en-US"/>
        </w:rPr>
        <w:t>Multi-TTI and size of slot/</w:t>
      </w:r>
      <w:proofErr w:type="spellStart"/>
      <w:r w:rsidRPr="00296DFE">
        <w:rPr>
          <w:lang w:val="en-US"/>
        </w:rPr>
        <w:t>minislot</w:t>
      </w:r>
      <w:proofErr w:type="spellEnd"/>
      <w:r w:rsidRPr="00296DFE">
        <w:rPr>
          <w:lang w:val="en-US"/>
        </w:rPr>
        <w:t xml:space="preserve"> and impact to </w:t>
      </w:r>
      <w:proofErr w:type="spellStart"/>
      <w:r w:rsidRPr="00296DFE">
        <w:rPr>
          <w:lang w:val="en-US"/>
        </w:rPr>
        <w:t>mmW</w:t>
      </w:r>
      <w:proofErr w:type="spellEnd"/>
      <w:r>
        <w:rPr>
          <w:lang w:val="en-US"/>
        </w:rPr>
        <w:t>, Qualcomm Incorporated. Submission to RAN1-87</w:t>
      </w:r>
    </w:p>
    <w:p w:rsidR="00296DFE" w:rsidRDefault="00296DFE" w:rsidP="00296DFE">
      <w:pPr>
        <w:rPr>
          <w:lang w:val="en-US"/>
        </w:rPr>
      </w:pPr>
      <w:r>
        <w:rPr>
          <w:lang w:val="en-US"/>
        </w:rPr>
        <w:t xml:space="preserve">[2] R1-161054 </w:t>
      </w:r>
      <w:r w:rsidRPr="00296DFE">
        <w:rPr>
          <w:lang w:val="en-US"/>
        </w:rPr>
        <w:t>WF on slot</w:t>
      </w:r>
      <w:r w:rsidRPr="00296DFE">
        <w:rPr>
          <w:lang w:val="en-US"/>
        </w:rPr>
        <w:tab/>
        <w:t xml:space="preserve">NTT DOCOMO, INC., Ericsson, Panasonic, Nokia, Alcatel-Lucent Shanghai Bell, Qualcomm, Huawei, </w:t>
      </w:r>
      <w:proofErr w:type="spellStart"/>
      <w:r w:rsidRPr="00296DFE">
        <w:rPr>
          <w:lang w:val="en-US"/>
        </w:rPr>
        <w:t>HiSilicon</w:t>
      </w:r>
      <w:proofErr w:type="spellEnd"/>
    </w:p>
    <w:p w:rsidR="00296DFE" w:rsidRPr="00296DFE" w:rsidRDefault="00296DFE" w:rsidP="00296DFE">
      <w:pPr>
        <w:rPr>
          <w:lang w:val="en-US"/>
        </w:rPr>
      </w:pPr>
      <w:r>
        <w:rPr>
          <w:lang w:val="en-US"/>
        </w:rPr>
        <w:t xml:space="preserve">[3] R1-1610129 </w:t>
      </w:r>
      <w:r w:rsidRPr="00296DFE">
        <w:rPr>
          <w:lang w:val="en-US"/>
        </w:rPr>
        <w:t>Summary of [86-19] Discussion on</w:t>
      </w:r>
      <w:r>
        <w:rPr>
          <w:lang w:val="en-US"/>
        </w:rPr>
        <w:t xml:space="preserve"> Slot Structure Use Cases </w:t>
      </w:r>
      <w:r w:rsidRPr="00296DFE">
        <w:rPr>
          <w:lang w:val="en-US"/>
        </w:rPr>
        <w:t>Qualcomm Incorporated</w:t>
      </w:r>
    </w:p>
    <w:p w:rsidR="00296DFE" w:rsidRDefault="00296DFE" w:rsidP="00296DFE">
      <w:pPr>
        <w:rPr>
          <w:lang w:val="en-US"/>
        </w:rPr>
      </w:pPr>
      <w:r>
        <w:rPr>
          <w:lang w:val="en-US"/>
        </w:rPr>
        <w:t xml:space="preserve">[4] R1-1610736 </w:t>
      </w:r>
      <w:r w:rsidRPr="00296DFE">
        <w:rPr>
          <w:lang w:val="en-US"/>
        </w:rPr>
        <w:t>Summary of offline discussi</w:t>
      </w:r>
      <w:r>
        <w:rPr>
          <w:lang w:val="en-US"/>
        </w:rPr>
        <w:t xml:space="preserve">on on downlink control channels </w:t>
      </w:r>
      <w:r w:rsidRPr="00296DFE">
        <w:rPr>
          <w:lang w:val="en-US"/>
        </w:rPr>
        <w:t>Ericsson</w:t>
      </w:r>
    </w:p>
    <w:p w:rsidR="00296DFE" w:rsidRDefault="00296DFE" w:rsidP="00296DFE">
      <w:pPr>
        <w:rPr>
          <w:lang w:val="en-US"/>
        </w:rPr>
      </w:pPr>
    </w:p>
    <w:p w:rsidR="00296DFE" w:rsidRPr="00296DFE" w:rsidRDefault="00296DFE" w:rsidP="00296DFE">
      <w:pPr>
        <w:rPr>
          <w:lang w:val="en-US"/>
        </w:rPr>
      </w:pPr>
    </w:p>
    <w:sectPr w:rsidR="00296DFE" w:rsidRPr="00296DFE" w:rsidSect="00A40E17">
      <w:footerReference w:type="default" r:id="rId13"/>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1F6" w:rsidRDefault="00E571F6">
      <w:r>
        <w:separator/>
      </w:r>
    </w:p>
  </w:endnote>
  <w:endnote w:type="continuationSeparator" w:id="0">
    <w:p w:rsidR="00E571F6" w:rsidRDefault="00E571F6">
      <w:r>
        <w:continuationSeparator/>
      </w:r>
    </w:p>
  </w:endnote>
  <w:endnote w:type="continuationNotice" w:id="1">
    <w:p w:rsidR="00E571F6" w:rsidRDefault="00E57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5866"/>
      <w:docPartObj>
        <w:docPartGallery w:val="Page Numbers (Bottom of Page)"/>
        <w:docPartUnique/>
      </w:docPartObj>
    </w:sdtPr>
    <w:sdtEndPr/>
    <w:sdtContent>
      <w:p w:rsidR="007F5589" w:rsidRDefault="00B70551">
        <w:pPr>
          <w:pStyle w:val="Footer"/>
          <w:jc w:val="center"/>
        </w:pPr>
        <w:r>
          <w:fldChar w:fldCharType="begin"/>
        </w:r>
        <w:r>
          <w:instrText xml:space="preserve"> PAGE   \* MERGEFORMAT </w:instrText>
        </w:r>
        <w:r>
          <w:fldChar w:fldCharType="separate"/>
        </w:r>
        <w:r w:rsidR="00F96E54">
          <w:rPr>
            <w:noProof/>
          </w:rPr>
          <w:t>5</w:t>
        </w:r>
        <w:r>
          <w:rPr>
            <w:noProof/>
          </w:rPr>
          <w:fldChar w:fldCharType="end"/>
        </w:r>
      </w:p>
    </w:sdtContent>
  </w:sdt>
  <w:p w:rsidR="007F5589" w:rsidRDefault="007F5589">
    <w:pPr>
      <w:pStyle w:val="Footer"/>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1F6" w:rsidRDefault="00E571F6">
      <w:r>
        <w:separator/>
      </w:r>
    </w:p>
  </w:footnote>
  <w:footnote w:type="continuationSeparator" w:id="0">
    <w:p w:rsidR="00E571F6" w:rsidRDefault="00E571F6">
      <w:r>
        <w:continuationSeparator/>
      </w:r>
    </w:p>
  </w:footnote>
  <w:footnote w:type="continuationNotice" w:id="1">
    <w:p w:rsidR="00E571F6" w:rsidRDefault="00E571F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781942"/>
    <w:multiLevelType w:val="hybridMultilevel"/>
    <w:tmpl w:val="440E5AF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760F79"/>
    <w:multiLevelType w:val="hybridMultilevel"/>
    <w:tmpl w:val="83BC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29E55E3A"/>
    <w:multiLevelType w:val="hybridMultilevel"/>
    <w:tmpl w:val="6294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82C37"/>
    <w:multiLevelType w:val="hybridMultilevel"/>
    <w:tmpl w:val="C5A87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CD201B"/>
    <w:multiLevelType w:val="hybridMultilevel"/>
    <w:tmpl w:val="EC7047F2"/>
    <w:lvl w:ilvl="0" w:tplc="A29E3826">
      <w:start w:val="1"/>
      <w:numFmt w:val="bullet"/>
      <w:lvlText w:val="•"/>
      <w:lvlJc w:val="left"/>
      <w:pPr>
        <w:tabs>
          <w:tab w:val="num" w:pos="720"/>
        </w:tabs>
        <w:ind w:left="720" w:hanging="360"/>
      </w:pPr>
      <w:rPr>
        <w:rFonts w:ascii="Arial" w:hAnsi="Arial" w:hint="default"/>
      </w:rPr>
    </w:lvl>
    <w:lvl w:ilvl="1" w:tplc="9C4226BA">
      <w:start w:val="5264"/>
      <w:numFmt w:val="bullet"/>
      <w:lvlText w:val="–"/>
      <w:lvlJc w:val="left"/>
      <w:pPr>
        <w:tabs>
          <w:tab w:val="num" w:pos="1440"/>
        </w:tabs>
        <w:ind w:left="1440" w:hanging="360"/>
      </w:pPr>
      <w:rPr>
        <w:rFonts w:ascii="Arial" w:hAnsi="Arial" w:hint="default"/>
      </w:rPr>
    </w:lvl>
    <w:lvl w:ilvl="2" w:tplc="1938FBC8" w:tentative="1">
      <w:start w:val="1"/>
      <w:numFmt w:val="bullet"/>
      <w:lvlText w:val="•"/>
      <w:lvlJc w:val="left"/>
      <w:pPr>
        <w:tabs>
          <w:tab w:val="num" w:pos="2160"/>
        </w:tabs>
        <w:ind w:left="2160" w:hanging="360"/>
      </w:pPr>
      <w:rPr>
        <w:rFonts w:ascii="Arial" w:hAnsi="Arial" w:hint="default"/>
      </w:rPr>
    </w:lvl>
    <w:lvl w:ilvl="3" w:tplc="F154B70C" w:tentative="1">
      <w:start w:val="1"/>
      <w:numFmt w:val="bullet"/>
      <w:lvlText w:val="•"/>
      <w:lvlJc w:val="left"/>
      <w:pPr>
        <w:tabs>
          <w:tab w:val="num" w:pos="2880"/>
        </w:tabs>
        <w:ind w:left="2880" w:hanging="360"/>
      </w:pPr>
      <w:rPr>
        <w:rFonts w:ascii="Arial" w:hAnsi="Arial" w:hint="default"/>
      </w:rPr>
    </w:lvl>
    <w:lvl w:ilvl="4" w:tplc="C540B072" w:tentative="1">
      <w:start w:val="1"/>
      <w:numFmt w:val="bullet"/>
      <w:lvlText w:val="•"/>
      <w:lvlJc w:val="left"/>
      <w:pPr>
        <w:tabs>
          <w:tab w:val="num" w:pos="3600"/>
        </w:tabs>
        <w:ind w:left="3600" w:hanging="360"/>
      </w:pPr>
      <w:rPr>
        <w:rFonts w:ascii="Arial" w:hAnsi="Arial" w:hint="default"/>
      </w:rPr>
    </w:lvl>
    <w:lvl w:ilvl="5" w:tplc="A2B44F22" w:tentative="1">
      <w:start w:val="1"/>
      <w:numFmt w:val="bullet"/>
      <w:lvlText w:val="•"/>
      <w:lvlJc w:val="left"/>
      <w:pPr>
        <w:tabs>
          <w:tab w:val="num" w:pos="4320"/>
        </w:tabs>
        <w:ind w:left="4320" w:hanging="360"/>
      </w:pPr>
      <w:rPr>
        <w:rFonts w:ascii="Arial" w:hAnsi="Arial" w:hint="default"/>
      </w:rPr>
    </w:lvl>
    <w:lvl w:ilvl="6" w:tplc="2F7C38AE" w:tentative="1">
      <w:start w:val="1"/>
      <w:numFmt w:val="bullet"/>
      <w:lvlText w:val="•"/>
      <w:lvlJc w:val="left"/>
      <w:pPr>
        <w:tabs>
          <w:tab w:val="num" w:pos="5040"/>
        </w:tabs>
        <w:ind w:left="5040" w:hanging="360"/>
      </w:pPr>
      <w:rPr>
        <w:rFonts w:ascii="Arial" w:hAnsi="Arial" w:hint="default"/>
      </w:rPr>
    </w:lvl>
    <w:lvl w:ilvl="7" w:tplc="B5669C62" w:tentative="1">
      <w:start w:val="1"/>
      <w:numFmt w:val="bullet"/>
      <w:lvlText w:val="•"/>
      <w:lvlJc w:val="left"/>
      <w:pPr>
        <w:tabs>
          <w:tab w:val="num" w:pos="5760"/>
        </w:tabs>
        <w:ind w:left="5760" w:hanging="360"/>
      </w:pPr>
      <w:rPr>
        <w:rFonts w:ascii="Arial" w:hAnsi="Arial" w:hint="default"/>
      </w:rPr>
    </w:lvl>
    <w:lvl w:ilvl="8" w:tplc="DEBC5F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E3167F"/>
    <w:multiLevelType w:val="hybridMultilevel"/>
    <w:tmpl w:val="E6AA8E92"/>
    <w:lvl w:ilvl="0" w:tplc="36061598">
      <w:start w:val="197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F20DF2"/>
    <w:multiLevelType w:val="hybridMultilevel"/>
    <w:tmpl w:val="6F86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15:restartNumberingAfterBreak="0">
    <w:nsid w:val="699956E5"/>
    <w:multiLevelType w:val="hybridMultilevel"/>
    <w:tmpl w:val="AE16F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B5601D"/>
    <w:multiLevelType w:val="hybridMultilevel"/>
    <w:tmpl w:val="1238759C"/>
    <w:lvl w:ilvl="0" w:tplc="DDA804E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6B397E"/>
    <w:multiLevelType w:val="hybridMultilevel"/>
    <w:tmpl w:val="5B346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20"/>
  </w:num>
  <w:num w:numId="2">
    <w:abstractNumId w:val="12"/>
  </w:num>
  <w:num w:numId="3">
    <w:abstractNumId w:val="4"/>
  </w:num>
  <w:num w:numId="4">
    <w:abstractNumId w:val="11"/>
  </w:num>
  <w:num w:numId="5">
    <w:abstractNumId w:val="9"/>
  </w:num>
  <w:num w:numId="6">
    <w:abstractNumId w:val="17"/>
  </w:num>
  <w:num w:numId="7">
    <w:abstractNumId w:val="3"/>
  </w:num>
  <w:num w:numId="8">
    <w:abstractNumId w:val="23"/>
  </w:num>
  <w:num w:numId="9">
    <w:abstractNumId w:val="5"/>
  </w:num>
  <w:num w:numId="10">
    <w:abstractNumId w:val="8"/>
  </w:num>
  <w:num w:numId="11">
    <w:abstractNumId w:val="20"/>
  </w:num>
  <w:num w:numId="12">
    <w:abstractNumId w:val="20"/>
  </w:num>
  <w:num w:numId="13">
    <w:abstractNumId w:val="20"/>
  </w:num>
  <w:num w:numId="14">
    <w:abstractNumId w:val="0"/>
  </w:num>
  <w:num w:numId="15">
    <w:abstractNumId w:val="10"/>
  </w:num>
  <w:num w:numId="16">
    <w:abstractNumId w:val="10"/>
  </w:num>
  <w:num w:numId="17">
    <w:abstractNumId w:val="10"/>
  </w:num>
  <w:num w:numId="18">
    <w:abstractNumId w:val="14"/>
  </w:num>
  <w:num w:numId="19">
    <w:abstractNumId w:val="21"/>
  </w:num>
  <w:num w:numId="20">
    <w:abstractNumId w:val="19"/>
  </w:num>
  <w:num w:numId="21">
    <w:abstractNumId w:val="10"/>
  </w:num>
  <w:num w:numId="22">
    <w:abstractNumId w:val="2"/>
  </w:num>
  <w:num w:numId="23">
    <w:abstractNumId w:val="16"/>
  </w:num>
  <w:num w:numId="24">
    <w:abstractNumId w:val="1"/>
  </w:num>
  <w:num w:numId="25">
    <w:abstractNumId w:val="13"/>
  </w:num>
  <w:num w:numId="26">
    <w:abstractNumId w:val="15"/>
  </w:num>
  <w:num w:numId="27">
    <w:abstractNumId w:val="6"/>
  </w:num>
  <w:num w:numId="28">
    <w:abstractNumId w:val="18"/>
  </w:num>
  <w:num w:numId="29">
    <w:abstractNumId w:val="22"/>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A2F"/>
    <w:rsid w:val="00014D5C"/>
    <w:rsid w:val="00014F73"/>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96E"/>
    <w:rsid w:val="000409EB"/>
    <w:rsid w:val="00040B86"/>
    <w:rsid w:val="0004106F"/>
    <w:rsid w:val="000415F3"/>
    <w:rsid w:val="0004179C"/>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3F24"/>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3AEC"/>
    <w:rsid w:val="00074104"/>
    <w:rsid w:val="0007427D"/>
    <w:rsid w:val="00074EF6"/>
    <w:rsid w:val="00075170"/>
    <w:rsid w:val="00075A07"/>
    <w:rsid w:val="00075D85"/>
    <w:rsid w:val="00075F92"/>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C77"/>
    <w:rsid w:val="00096174"/>
    <w:rsid w:val="0009699B"/>
    <w:rsid w:val="00096E72"/>
    <w:rsid w:val="00096F8B"/>
    <w:rsid w:val="00097A02"/>
    <w:rsid w:val="000A0528"/>
    <w:rsid w:val="000A091F"/>
    <w:rsid w:val="000A0E7C"/>
    <w:rsid w:val="000A12A8"/>
    <w:rsid w:val="000A16B9"/>
    <w:rsid w:val="000A19C9"/>
    <w:rsid w:val="000A20C2"/>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FBB"/>
    <w:rsid w:val="000B4354"/>
    <w:rsid w:val="000B4A27"/>
    <w:rsid w:val="000B53E8"/>
    <w:rsid w:val="000B5B4B"/>
    <w:rsid w:val="000B60DF"/>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4B39"/>
    <w:rsid w:val="000D5010"/>
    <w:rsid w:val="000D5213"/>
    <w:rsid w:val="000D5B32"/>
    <w:rsid w:val="000D62EF"/>
    <w:rsid w:val="000D662C"/>
    <w:rsid w:val="000D677F"/>
    <w:rsid w:val="000D7ABD"/>
    <w:rsid w:val="000D7B7B"/>
    <w:rsid w:val="000E0435"/>
    <w:rsid w:val="000E066E"/>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BBF"/>
    <w:rsid w:val="00160E5C"/>
    <w:rsid w:val="001617A1"/>
    <w:rsid w:val="00161D2A"/>
    <w:rsid w:val="00162028"/>
    <w:rsid w:val="0016263C"/>
    <w:rsid w:val="00162A4F"/>
    <w:rsid w:val="00162FBF"/>
    <w:rsid w:val="001636B8"/>
    <w:rsid w:val="00164609"/>
    <w:rsid w:val="00165C45"/>
    <w:rsid w:val="0016699E"/>
    <w:rsid w:val="00167051"/>
    <w:rsid w:val="001673A9"/>
    <w:rsid w:val="00167492"/>
    <w:rsid w:val="001676DC"/>
    <w:rsid w:val="00171048"/>
    <w:rsid w:val="00171C27"/>
    <w:rsid w:val="001720DD"/>
    <w:rsid w:val="0017301D"/>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633"/>
    <w:rsid w:val="00197B1F"/>
    <w:rsid w:val="001A0869"/>
    <w:rsid w:val="001A0C4F"/>
    <w:rsid w:val="001A140B"/>
    <w:rsid w:val="001A1EB4"/>
    <w:rsid w:val="001A2072"/>
    <w:rsid w:val="001A25B3"/>
    <w:rsid w:val="001A2994"/>
    <w:rsid w:val="001A3245"/>
    <w:rsid w:val="001A355A"/>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75D"/>
    <w:rsid w:val="001D47B9"/>
    <w:rsid w:val="001D5282"/>
    <w:rsid w:val="001D5743"/>
    <w:rsid w:val="001D5939"/>
    <w:rsid w:val="001D5E68"/>
    <w:rsid w:val="001D6CD8"/>
    <w:rsid w:val="001D7249"/>
    <w:rsid w:val="001D7763"/>
    <w:rsid w:val="001D77B0"/>
    <w:rsid w:val="001D78F0"/>
    <w:rsid w:val="001E006A"/>
    <w:rsid w:val="001E121A"/>
    <w:rsid w:val="001E1D86"/>
    <w:rsid w:val="001E1E5B"/>
    <w:rsid w:val="001E20C2"/>
    <w:rsid w:val="001E412B"/>
    <w:rsid w:val="001E424B"/>
    <w:rsid w:val="001E424F"/>
    <w:rsid w:val="001E5FAB"/>
    <w:rsid w:val="001E6A08"/>
    <w:rsid w:val="001E6DC4"/>
    <w:rsid w:val="001E70C0"/>
    <w:rsid w:val="001E7A06"/>
    <w:rsid w:val="001E7AF4"/>
    <w:rsid w:val="001E7FF0"/>
    <w:rsid w:val="001F06AD"/>
    <w:rsid w:val="001F07BF"/>
    <w:rsid w:val="001F0F87"/>
    <w:rsid w:val="001F2454"/>
    <w:rsid w:val="001F434E"/>
    <w:rsid w:val="001F43A6"/>
    <w:rsid w:val="001F43B2"/>
    <w:rsid w:val="001F4EBD"/>
    <w:rsid w:val="001F5003"/>
    <w:rsid w:val="001F56ED"/>
    <w:rsid w:val="001F648D"/>
    <w:rsid w:val="001F690C"/>
    <w:rsid w:val="001F7229"/>
    <w:rsid w:val="001F7270"/>
    <w:rsid w:val="002002FE"/>
    <w:rsid w:val="0020159F"/>
    <w:rsid w:val="002015BD"/>
    <w:rsid w:val="00201911"/>
    <w:rsid w:val="00201E71"/>
    <w:rsid w:val="002022BC"/>
    <w:rsid w:val="00202325"/>
    <w:rsid w:val="002026C5"/>
    <w:rsid w:val="002027C5"/>
    <w:rsid w:val="00202E53"/>
    <w:rsid w:val="0020323E"/>
    <w:rsid w:val="002032EA"/>
    <w:rsid w:val="00203769"/>
    <w:rsid w:val="00203798"/>
    <w:rsid w:val="0020426C"/>
    <w:rsid w:val="00204440"/>
    <w:rsid w:val="00204565"/>
    <w:rsid w:val="00204F35"/>
    <w:rsid w:val="00204FA6"/>
    <w:rsid w:val="00206161"/>
    <w:rsid w:val="0020639E"/>
    <w:rsid w:val="00206AE5"/>
    <w:rsid w:val="00206E5D"/>
    <w:rsid w:val="00207007"/>
    <w:rsid w:val="00207C59"/>
    <w:rsid w:val="002115A8"/>
    <w:rsid w:val="002119BE"/>
    <w:rsid w:val="00211C36"/>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B1"/>
    <w:rsid w:val="002226BA"/>
    <w:rsid w:val="00223143"/>
    <w:rsid w:val="002261DF"/>
    <w:rsid w:val="0022633E"/>
    <w:rsid w:val="00226414"/>
    <w:rsid w:val="00226747"/>
    <w:rsid w:val="00226B31"/>
    <w:rsid w:val="002271BB"/>
    <w:rsid w:val="0022727D"/>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73E"/>
    <w:rsid w:val="002422E0"/>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99"/>
    <w:rsid w:val="002629F4"/>
    <w:rsid w:val="00262D82"/>
    <w:rsid w:val="00262EF6"/>
    <w:rsid w:val="00264571"/>
    <w:rsid w:val="00264E11"/>
    <w:rsid w:val="00265552"/>
    <w:rsid w:val="00266198"/>
    <w:rsid w:val="002669CC"/>
    <w:rsid w:val="00266C02"/>
    <w:rsid w:val="00266FF3"/>
    <w:rsid w:val="0026755A"/>
    <w:rsid w:val="002679F2"/>
    <w:rsid w:val="00270CD5"/>
    <w:rsid w:val="00271DA5"/>
    <w:rsid w:val="00271F5A"/>
    <w:rsid w:val="00272125"/>
    <w:rsid w:val="00272A40"/>
    <w:rsid w:val="00272D03"/>
    <w:rsid w:val="00273F83"/>
    <w:rsid w:val="00273FAA"/>
    <w:rsid w:val="00274615"/>
    <w:rsid w:val="00274FFD"/>
    <w:rsid w:val="0027522B"/>
    <w:rsid w:val="00275440"/>
    <w:rsid w:val="0027654D"/>
    <w:rsid w:val="00277014"/>
    <w:rsid w:val="00277657"/>
    <w:rsid w:val="00277BDF"/>
    <w:rsid w:val="00277EE5"/>
    <w:rsid w:val="0028091D"/>
    <w:rsid w:val="00282084"/>
    <w:rsid w:val="002821F3"/>
    <w:rsid w:val="00282460"/>
    <w:rsid w:val="002824DD"/>
    <w:rsid w:val="00282A91"/>
    <w:rsid w:val="0028341E"/>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6DFE"/>
    <w:rsid w:val="00297085"/>
    <w:rsid w:val="002970DC"/>
    <w:rsid w:val="00297E1E"/>
    <w:rsid w:val="00297E67"/>
    <w:rsid w:val="00297E8A"/>
    <w:rsid w:val="002A1452"/>
    <w:rsid w:val="002A2642"/>
    <w:rsid w:val="002A2BCF"/>
    <w:rsid w:val="002A3FA7"/>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1BC"/>
    <w:rsid w:val="002C321E"/>
    <w:rsid w:val="002C32F0"/>
    <w:rsid w:val="002C37C0"/>
    <w:rsid w:val="002C3B70"/>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35BB"/>
    <w:rsid w:val="002D3811"/>
    <w:rsid w:val="002D40C2"/>
    <w:rsid w:val="002D41F6"/>
    <w:rsid w:val="002D50D7"/>
    <w:rsid w:val="002D51C2"/>
    <w:rsid w:val="002D53CF"/>
    <w:rsid w:val="002D5575"/>
    <w:rsid w:val="002D5BC7"/>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AB4"/>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20C2"/>
    <w:rsid w:val="0032216B"/>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3BA"/>
    <w:rsid w:val="003306F5"/>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461"/>
    <w:rsid w:val="00341976"/>
    <w:rsid w:val="00342F01"/>
    <w:rsid w:val="003449A9"/>
    <w:rsid w:val="00344B89"/>
    <w:rsid w:val="00345303"/>
    <w:rsid w:val="0034541A"/>
    <w:rsid w:val="003461FC"/>
    <w:rsid w:val="00346E14"/>
    <w:rsid w:val="00347047"/>
    <w:rsid w:val="00347090"/>
    <w:rsid w:val="00347C2F"/>
    <w:rsid w:val="00350033"/>
    <w:rsid w:val="00350324"/>
    <w:rsid w:val="00350422"/>
    <w:rsid w:val="00351108"/>
    <w:rsid w:val="00351775"/>
    <w:rsid w:val="0035210D"/>
    <w:rsid w:val="00352329"/>
    <w:rsid w:val="00353FA5"/>
    <w:rsid w:val="00354006"/>
    <w:rsid w:val="00354069"/>
    <w:rsid w:val="00354A9F"/>
    <w:rsid w:val="00355702"/>
    <w:rsid w:val="00355B1B"/>
    <w:rsid w:val="00355FA0"/>
    <w:rsid w:val="00356C5F"/>
    <w:rsid w:val="0035782C"/>
    <w:rsid w:val="00357D0E"/>
    <w:rsid w:val="0036096A"/>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A02AC"/>
    <w:rsid w:val="003A0793"/>
    <w:rsid w:val="003A0F32"/>
    <w:rsid w:val="003A2430"/>
    <w:rsid w:val="003A2CC1"/>
    <w:rsid w:val="003A30BF"/>
    <w:rsid w:val="003A3252"/>
    <w:rsid w:val="003A3571"/>
    <w:rsid w:val="003A4174"/>
    <w:rsid w:val="003A5D53"/>
    <w:rsid w:val="003A5E5B"/>
    <w:rsid w:val="003A6681"/>
    <w:rsid w:val="003A6B08"/>
    <w:rsid w:val="003A7589"/>
    <w:rsid w:val="003A7D1C"/>
    <w:rsid w:val="003B05B1"/>
    <w:rsid w:val="003B06C5"/>
    <w:rsid w:val="003B0DF7"/>
    <w:rsid w:val="003B0F1B"/>
    <w:rsid w:val="003B0F90"/>
    <w:rsid w:val="003B0FD6"/>
    <w:rsid w:val="003B10DB"/>
    <w:rsid w:val="003B1810"/>
    <w:rsid w:val="003B1A59"/>
    <w:rsid w:val="003B1DCF"/>
    <w:rsid w:val="003B2A08"/>
    <w:rsid w:val="003B3797"/>
    <w:rsid w:val="003B3C60"/>
    <w:rsid w:val="003B48D7"/>
    <w:rsid w:val="003B49FE"/>
    <w:rsid w:val="003B59A4"/>
    <w:rsid w:val="003B620B"/>
    <w:rsid w:val="003B62B6"/>
    <w:rsid w:val="003B630B"/>
    <w:rsid w:val="003B641C"/>
    <w:rsid w:val="003B6A0E"/>
    <w:rsid w:val="003B7034"/>
    <w:rsid w:val="003B70DE"/>
    <w:rsid w:val="003B7A0D"/>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C53"/>
    <w:rsid w:val="00413D6A"/>
    <w:rsid w:val="00413E74"/>
    <w:rsid w:val="004140E6"/>
    <w:rsid w:val="004157A6"/>
    <w:rsid w:val="00415B98"/>
    <w:rsid w:val="0041603F"/>
    <w:rsid w:val="004174BB"/>
    <w:rsid w:val="004206FB"/>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36C5"/>
    <w:rsid w:val="004B41A3"/>
    <w:rsid w:val="004B42C7"/>
    <w:rsid w:val="004B4A15"/>
    <w:rsid w:val="004B5E55"/>
    <w:rsid w:val="004B5F8A"/>
    <w:rsid w:val="004B6353"/>
    <w:rsid w:val="004B6814"/>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5F7"/>
    <w:rsid w:val="004D42B4"/>
    <w:rsid w:val="004D53B1"/>
    <w:rsid w:val="004D5552"/>
    <w:rsid w:val="004D5B21"/>
    <w:rsid w:val="004D5BE4"/>
    <w:rsid w:val="004D60B2"/>
    <w:rsid w:val="004D618B"/>
    <w:rsid w:val="004D63A0"/>
    <w:rsid w:val="004D6E02"/>
    <w:rsid w:val="004D7CD6"/>
    <w:rsid w:val="004E03E4"/>
    <w:rsid w:val="004E058C"/>
    <w:rsid w:val="004E0C47"/>
    <w:rsid w:val="004E11EE"/>
    <w:rsid w:val="004E2630"/>
    <w:rsid w:val="004E2785"/>
    <w:rsid w:val="004E2C2F"/>
    <w:rsid w:val="004E368E"/>
    <w:rsid w:val="004E482D"/>
    <w:rsid w:val="004E48AF"/>
    <w:rsid w:val="004E4B04"/>
    <w:rsid w:val="004E5978"/>
    <w:rsid w:val="004E7453"/>
    <w:rsid w:val="004E761F"/>
    <w:rsid w:val="004F09D2"/>
    <w:rsid w:val="004F0AB6"/>
    <w:rsid w:val="004F1783"/>
    <w:rsid w:val="004F1D37"/>
    <w:rsid w:val="004F2276"/>
    <w:rsid w:val="004F279A"/>
    <w:rsid w:val="004F2DD8"/>
    <w:rsid w:val="004F35D6"/>
    <w:rsid w:val="004F4175"/>
    <w:rsid w:val="004F49D4"/>
    <w:rsid w:val="004F518D"/>
    <w:rsid w:val="004F5273"/>
    <w:rsid w:val="004F548D"/>
    <w:rsid w:val="004F5C07"/>
    <w:rsid w:val="004F64F0"/>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A61"/>
    <w:rsid w:val="00594D8D"/>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716B"/>
    <w:rsid w:val="005A78AF"/>
    <w:rsid w:val="005A7971"/>
    <w:rsid w:val="005A7F36"/>
    <w:rsid w:val="005A7FAE"/>
    <w:rsid w:val="005B0849"/>
    <w:rsid w:val="005B0A87"/>
    <w:rsid w:val="005B1616"/>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27A02"/>
    <w:rsid w:val="00630417"/>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4D46"/>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62EC"/>
    <w:rsid w:val="006B7578"/>
    <w:rsid w:val="006B7E6E"/>
    <w:rsid w:val="006C08C0"/>
    <w:rsid w:val="006C129A"/>
    <w:rsid w:val="006C13F9"/>
    <w:rsid w:val="006C17AA"/>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AF0"/>
    <w:rsid w:val="006F5454"/>
    <w:rsid w:val="006F6478"/>
    <w:rsid w:val="006F664C"/>
    <w:rsid w:val="006F6ADD"/>
    <w:rsid w:val="006F71E4"/>
    <w:rsid w:val="006F7BDF"/>
    <w:rsid w:val="00700DEA"/>
    <w:rsid w:val="00700ED4"/>
    <w:rsid w:val="0070222D"/>
    <w:rsid w:val="00702913"/>
    <w:rsid w:val="00703334"/>
    <w:rsid w:val="007036D5"/>
    <w:rsid w:val="00703FA5"/>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22D9"/>
    <w:rsid w:val="0072230B"/>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5069"/>
    <w:rsid w:val="00756692"/>
    <w:rsid w:val="00756BD4"/>
    <w:rsid w:val="00757177"/>
    <w:rsid w:val="00757A67"/>
    <w:rsid w:val="00757F2A"/>
    <w:rsid w:val="0076056A"/>
    <w:rsid w:val="00760C40"/>
    <w:rsid w:val="00760DBA"/>
    <w:rsid w:val="00761BEB"/>
    <w:rsid w:val="00761EF2"/>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357"/>
    <w:rsid w:val="00774F8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996"/>
    <w:rsid w:val="007A3B95"/>
    <w:rsid w:val="007A403B"/>
    <w:rsid w:val="007A455B"/>
    <w:rsid w:val="007A5CC6"/>
    <w:rsid w:val="007A60DB"/>
    <w:rsid w:val="007A6D01"/>
    <w:rsid w:val="007A70DC"/>
    <w:rsid w:val="007A7439"/>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76"/>
    <w:rsid w:val="007D36A0"/>
    <w:rsid w:val="007D3D07"/>
    <w:rsid w:val="007D3F7B"/>
    <w:rsid w:val="007D41FB"/>
    <w:rsid w:val="007D466F"/>
    <w:rsid w:val="007D5674"/>
    <w:rsid w:val="007D5F7E"/>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19F9"/>
    <w:rsid w:val="00841B8C"/>
    <w:rsid w:val="00841DE7"/>
    <w:rsid w:val="00842344"/>
    <w:rsid w:val="00842CC9"/>
    <w:rsid w:val="00843222"/>
    <w:rsid w:val="0084353D"/>
    <w:rsid w:val="00843A58"/>
    <w:rsid w:val="0084419C"/>
    <w:rsid w:val="00844774"/>
    <w:rsid w:val="00844FA5"/>
    <w:rsid w:val="00845D86"/>
    <w:rsid w:val="008463C1"/>
    <w:rsid w:val="00846748"/>
    <w:rsid w:val="00846792"/>
    <w:rsid w:val="00847444"/>
    <w:rsid w:val="008500C8"/>
    <w:rsid w:val="00850543"/>
    <w:rsid w:val="00850F3E"/>
    <w:rsid w:val="008510B2"/>
    <w:rsid w:val="00851815"/>
    <w:rsid w:val="00851A91"/>
    <w:rsid w:val="00851EB5"/>
    <w:rsid w:val="008521F9"/>
    <w:rsid w:val="008522EA"/>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B8"/>
    <w:rsid w:val="008A3728"/>
    <w:rsid w:val="008A40B9"/>
    <w:rsid w:val="008A4EDD"/>
    <w:rsid w:val="008A61AE"/>
    <w:rsid w:val="008A639C"/>
    <w:rsid w:val="008A6F3E"/>
    <w:rsid w:val="008A7A9C"/>
    <w:rsid w:val="008B0D81"/>
    <w:rsid w:val="008B0F47"/>
    <w:rsid w:val="008B1A8E"/>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7B33"/>
    <w:rsid w:val="008E01AF"/>
    <w:rsid w:val="008E049A"/>
    <w:rsid w:val="008E05E4"/>
    <w:rsid w:val="008E0909"/>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F46"/>
    <w:rsid w:val="008F79AA"/>
    <w:rsid w:val="00900381"/>
    <w:rsid w:val="00900636"/>
    <w:rsid w:val="00900F7B"/>
    <w:rsid w:val="009019E5"/>
    <w:rsid w:val="00901BBD"/>
    <w:rsid w:val="00902758"/>
    <w:rsid w:val="00902F32"/>
    <w:rsid w:val="009044EF"/>
    <w:rsid w:val="00904A04"/>
    <w:rsid w:val="00904A3E"/>
    <w:rsid w:val="00904E6F"/>
    <w:rsid w:val="00905274"/>
    <w:rsid w:val="00905304"/>
    <w:rsid w:val="00905EE8"/>
    <w:rsid w:val="0090799D"/>
    <w:rsid w:val="00907C0E"/>
    <w:rsid w:val="00907C9C"/>
    <w:rsid w:val="00910FDC"/>
    <w:rsid w:val="00911302"/>
    <w:rsid w:val="0091139F"/>
    <w:rsid w:val="009113E4"/>
    <w:rsid w:val="009129EF"/>
    <w:rsid w:val="00912FE1"/>
    <w:rsid w:val="00913066"/>
    <w:rsid w:val="00913BB7"/>
    <w:rsid w:val="0091440B"/>
    <w:rsid w:val="00914728"/>
    <w:rsid w:val="00914BD1"/>
    <w:rsid w:val="00914C81"/>
    <w:rsid w:val="00914D25"/>
    <w:rsid w:val="00915389"/>
    <w:rsid w:val="00915670"/>
    <w:rsid w:val="00915A50"/>
    <w:rsid w:val="0091741B"/>
    <w:rsid w:val="00917CA3"/>
    <w:rsid w:val="00920772"/>
    <w:rsid w:val="00920D75"/>
    <w:rsid w:val="0092111F"/>
    <w:rsid w:val="00921374"/>
    <w:rsid w:val="0092202F"/>
    <w:rsid w:val="00922106"/>
    <w:rsid w:val="0092240A"/>
    <w:rsid w:val="00922B73"/>
    <w:rsid w:val="00922CDF"/>
    <w:rsid w:val="009231B4"/>
    <w:rsid w:val="00923686"/>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6B0"/>
    <w:rsid w:val="009308F4"/>
    <w:rsid w:val="009308F6"/>
    <w:rsid w:val="009309EC"/>
    <w:rsid w:val="00930F26"/>
    <w:rsid w:val="00931236"/>
    <w:rsid w:val="009317A6"/>
    <w:rsid w:val="00931DCC"/>
    <w:rsid w:val="00932065"/>
    <w:rsid w:val="00932EEC"/>
    <w:rsid w:val="00933833"/>
    <w:rsid w:val="00933B7A"/>
    <w:rsid w:val="00934DAF"/>
    <w:rsid w:val="00935BD5"/>
    <w:rsid w:val="009379C7"/>
    <w:rsid w:val="00937AE8"/>
    <w:rsid w:val="00937C40"/>
    <w:rsid w:val="00937E04"/>
    <w:rsid w:val="00940681"/>
    <w:rsid w:val="00941F70"/>
    <w:rsid w:val="009422BF"/>
    <w:rsid w:val="009427ED"/>
    <w:rsid w:val="00942887"/>
    <w:rsid w:val="00943178"/>
    <w:rsid w:val="0094343A"/>
    <w:rsid w:val="009435F2"/>
    <w:rsid w:val="00943911"/>
    <w:rsid w:val="00943C25"/>
    <w:rsid w:val="00943E59"/>
    <w:rsid w:val="009445C0"/>
    <w:rsid w:val="009453F9"/>
    <w:rsid w:val="00945BA0"/>
    <w:rsid w:val="00945D7B"/>
    <w:rsid w:val="0094654B"/>
    <w:rsid w:val="00946D4E"/>
    <w:rsid w:val="00946E9B"/>
    <w:rsid w:val="009509C1"/>
    <w:rsid w:val="00950BF8"/>
    <w:rsid w:val="00950E1B"/>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F8B"/>
    <w:rsid w:val="009C3871"/>
    <w:rsid w:val="009C397B"/>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98B"/>
    <w:rsid w:val="009D54BC"/>
    <w:rsid w:val="009D6F98"/>
    <w:rsid w:val="009D6FE6"/>
    <w:rsid w:val="009E07E4"/>
    <w:rsid w:val="009E1648"/>
    <w:rsid w:val="009E2942"/>
    <w:rsid w:val="009E2F47"/>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6F62"/>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2500"/>
    <w:rsid w:val="00A13C35"/>
    <w:rsid w:val="00A13E6B"/>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DBA"/>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4EC9"/>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17C9"/>
    <w:rsid w:val="00A82829"/>
    <w:rsid w:val="00A82B53"/>
    <w:rsid w:val="00A84CA4"/>
    <w:rsid w:val="00A84E8A"/>
    <w:rsid w:val="00A84FAB"/>
    <w:rsid w:val="00A8532B"/>
    <w:rsid w:val="00A85943"/>
    <w:rsid w:val="00A861BD"/>
    <w:rsid w:val="00A86C62"/>
    <w:rsid w:val="00A8705F"/>
    <w:rsid w:val="00A87FED"/>
    <w:rsid w:val="00A900FF"/>
    <w:rsid w:val="00A914B9"/>
    <w:rsid w:val="00A91B09"/>
    <w:rsid w:val="00A9213B"/>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26D"/>
    <w:rsid w:val="00AA249C"/>
    <w:rsid w:val="00AA34FA"/>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A37"/>
    <w:rsid w:val="00AD205F"/>
    <w:rsid w:val="00AD27A6"/>
    <w:rsid w:val="00AD28F4"/>
    <w:rsid w:val="00AD5205"/>
    <w:rsid w:val="00AD55F3"/>
    <w:rsid w:val="00AD5FC6"/>
    <w:rsid w:val="00AD68BB"/>
    <w:rsid w:val="00AD796C"/>
    <w:rsid w:val="00AD7C7E"/>
    <w:rsid w:val="00AE1056"/>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D3E"/>
    <w:rsid w:val="00B03E02"/>
    <w:rsid w:val="00B04020"/>
    <w:rsid w:val="00B04287"/>
    <w:rsid w:val="00B052EA"/>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279C"/>
    <w:rsid w:val="00B43088"/>
    <w:rsid w:val="00B43C4C"/>
    <w:rsid w:val="00B43EA2"/>
    <w:rsid w:val="00B4425C"/>
    <w:rsid w:val="00B44CDD"/>
    <w:rsid w:val="00B44F36"/>
    <w:rsid w:val="00B45D5B"/>
    <w:rsid w:val="00B46456"/>
    <w:rsid w:val="00B468E2"/>
    <w:rsid w:val="00B46D25"/>
    <w:rsid w:val="00B4748F"/>
    <w:rsid w:val="00B47B2A"/>
    <w:rsid w:val="00B50079"/>
    <w:rsid w:val="00B500EB"/>
    <w:rsid w:val="00B507C6"/>
    <w:rsid w:val="00B518DA"/>
    <w:rsid w:val="00B51A6F"/>
    <w:rsid w:val="00B51CD3"/>
    <w:rsid w:val="00B51F85"/>
    <w:rsid w:val="00B521D3"/>
    <w:rsid w:val="00B522D1"/>
    <w:rsid w:val="00B53960"/>
    <w:rsid w:val="00B53991"/>
    <w:rsid w:val="00B53A21"/>
    <w:rsid w:val="00B54182"/>
    <w:rsid w:val="00B54F6B"/>
    <w:rsid w:val="00B55655"/>
    <w:rsid w:val="00B563F9"/>
    <w:rsid w:val="00B564FA"/>
    <w:rsid w:val="00B56709"/>
    <w:rsid w:val="00B5759D"/>
    <w:rsid w:val="00B6028A"/>
    <w:rsid w:val="00B60397"/>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1DB"/>
    <w:rsid w:val="00B67B85"/>
    <w:rsid w:val="00B70551"/>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18F"/>
    <w:rsid w:val="00BA11C4"/>
    <w:rsid w:val="00BA1229"/>
    <w:rsid w:val="00BA1FF9"/>
    <w:rsid w:val="00BA2353"/>
    <w:rsid w:val="00BA23B5"/>
    <w:rsid w:val="00BA3073"/>
    <w:rsid w:val="00BA37DC"/>
    <w:rsid w:val="00BA4AED"/>
    <w:rsid w:val="00BA4D4D"/>
    <w:rsid w:val="00BA4E5A"/>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0F"/>
    <w:rsid w:val="00BC0640"/>
    <w:rsid w:val="00BC0FDC"/>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F04C8"/>
    <w:rsid w:val="00BF0D2E"/>
    <w:rsid w:val="00BF0EDC"/>
    <w:rsid w:val="00BF1C7D"/>
    <w:rsid w:val="00BF1E5D"/>
    <w:rsid w:val="00BF249C"/>
    <w:rsid w:val="00BF2726"/>
    <w:rsid w:val="00BF3162"/>
    <w:rsid w:val="00BF38B0"/>
    <w:rsid w:val="00BF3C7F"/>
    <w:rsid w:val="00BF4276"/>
    <w:rsid w:val="00BF44C6"/>
    <w:rsid w:val="00BF46F5"/>
    <w:rsid w:val="00BF4B27"/>
    <w:rsid w:val="00BF4B4E"/>
    <w:rsid w:val="00BF560C"/>
    <w:rsid w:val="00BF5F22"/>
    <w:rsid w:val="00BF73CB"/>
    <w:rsid w:val="00C00159"/>
    <w:rsid w:val="00C00461"/>
    <w:rsid w:val="00C006C7"/>
    <w:rsid w:val="00C00B47"/>
    <w:rsid w:val="00C02664"/>
    <w:rsid w:val="00C037B6"/>
    <w:rsid w:val="00C04764"/>
    <w:rsid w:val="00C047E8"/>
    <w:rsid w:val="00C04BF9"/>
    <w:rsid w:val="00C053A8"/>
    <w:rsid w:val="00C057D5"/>
    <w:rsid w:val="00C06161"/>
    <w:rsid w:val="00C06237"/>
    <w:rsid w:val="00C06AC9"/>
    <w:rsid w:val="00C076AB"/>
    <w:rsid w:val="00C0775B"/>
    <w:rsid w:val="00C07A09"/>
    <w:rsid w:val="00C07A9C"/>
    <w:rsid w:val="00C07E98"/>
    <w:rsid w:val="00C10419"/>
    <w:rsid w:val="00C10B0C"/>
    <w:rsid w:val="00C10CF0"/>
    <w:rsid w:val="00C111A0"/>
    <w:rsid w:val="00C11491"/>
    <w:rsid w:val="00C12ED8"/>
    <w:rsid w:val="00C140EC"/>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33FC"/>
    <w:rsid w:val="00C83DBF"/>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7F0"/>
    <w:rsid w:val="00C95EA9"/>
    <w:rsid w:val="00C95ED9"/>
    <w:rsid w:val="00C9669A"/>
    <w:rsid w:val="00C96779"/>
    <w:rsid w:val="00C96904"/>
    <w:rsid w:val="00C96ED0"/>
    <w:rsid w:val="00C972DE"/>
    <w:rsid w:val="00CA0EA8"/>
    <w:rsid w:val="00CA0ED1"/>
    <w:rsid w:val="00CA0F99"/>
    <w:rsid w:val="00CA13FC"/>
    <w:rsid w:val="00CA1B3D"/>
    <w:rsid w:val="00CA249B"/>
    <w:rsid w:val="00CA2554"/>
    <w:rsid w:val="00CA36FE"/>
    <w:rsid w:val="00CA4043"/>
    <w:rsid w:val="00CA4FEE"/>
    <w:rsid w:val="00CA58F2"/>
    <w:rsid w:val="00CA630A"/>
    <w:rsid w:val="00CA6D5F"/>
    <w:rsid w:val="00CA761B"/>
    <w:rsid w:val="00CB0463"/>
    <w:rsid w:val="00CB2126"/>
    <w:rsid w:val="00CB23C6"/>
    <w:rsid w:val="00CB2E5A"/>
    <w:rsid w:val="00CB317F"/>
    <w:rsid w:val="00CB3798"/>
    <w:rsid w:val="00CB3B5D"/>
    <w:rsid w:val="00CB3F09"/>
    <w:rsid w:val="00CB4CC6"/>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AAB"/>
    <w:rsid w:val="00D00DCB"/>
    <w:rsid w:val="00D0102F"/>
    <w:rsid w:val="00D0328B"/>
    <w:rsid w:val="00D0330D"/>
    <w:rsid w:val="00D0341A"/>
    <w:rsid w:val="00D03AD4"/>
    <w:rsid w:val="00D03B91"/>
    <w:rsid w:val="00D03DCC"/>
    <w:rsid w:val="00D03FA2"/>
    <w:rsid w:val="00D0448E"/>
    <w:rsid w:val="00D04988"/>
    <w:rsid w:val="00D04E46"/>
    <w:rsid w:val="00D059FA"/>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364"/>
    <w:rsid w:val="00D20BB7"/>
    <w:rsid w:val="00D20C5D"/>
    <w:rsid w:val="00D20CEC"/>
    <w:rsid w:val="00D21B64"/>
    <w:rsid w:val="00D22064"/>
    <w:rsid w:val="00D2216D"/>
    <w:rsid w:val="00D22C53"/>
    <w:rsid w:val="00D22CAB"/>
    <w:rsid w:val="00D240F5"/>
    <w:rsid w:val="00D24C2B"/>
    <w:rsid w:val="00D259C9"/>
    <w:rsid w:val="00D25F26"/>
    <w:rsid w:val="00D262F9"/>
    <w:rsid w:val="00D26895"/>
    <w:rsid w:val="00D26979"/>
    <w:rsid w:val="00D27190"/>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601EB"/>
    <w:rsid w:val="00D6145C"/>
    <w:rsid w:val="00D61FEA"/>
    <w:rsid w:val="00D620B2"/>
    <w:rsid w:val="00D622C5"/>
    <w:rsid w:val="00D62503"/>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FEC"/>
    <w:rsid w:val="00D75470"/>
    <w:rsid w:val="00D7683F"/>
    <w:rsid w:val="00D76DC8"/>
    <w:rsid w:val="00D76F3D"/>
    <w:rsid w:val="00D779B5"/>
    <w:rsid w:val="00D77FAA"/>
    <w:rsid w:val="00D80DB3"/>
    <w:rsid w:val="00D815FA"/>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8E2"/>
    <w:rsid w:val="00D9302A"/>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5C63"/>
    <w:rsid w:val="00DC6297"/>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3480"/>
    <w:rsid w:val="00DE404C"/>
    <w:rsid w:val="00DE41EC"/>
    <w:rsid w:val="00DE4B26"/>
    <w:rsid w:val="00DE64EA"/>
    <w:rsid w:val="00DE6BDF"/>
    <w:rsid w:val="00DE70D3"/>
    <w:rsid w:val="00DE7778"/>
    <w:rsid w:val="00DE7862"/>
    <w:rsid w:val="00DF0003"/>
    <w:rsid w:val="00DF01F0"/>
    <w:rsid w:val="00DF06F5"/>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E87"/>
    <w:rsid w:val="00DF7A92"/>
    <w:rsid w:val="00DF7BC2"/>
    <w:rsid w:val="00DF7FFC"/>
    <w:rsid w:val="00E003F8"/>
    <w:rsid w:val="00E015C4"/>
    <w:rsid w:val="00E026D8"/>
    <w:rsid w:val="00E038C3"/>
    <w:rsid w:val="00E03C5E"/>
    <w:rsid w:val="00E03D85"/>
    <w:rsid w:val="00E03EDD"/>
    <w:rsid w:val="00E04E21"/>
    <w:rsid w:val="00E052F2"/>
    <w:rsid w:val="00E05329"/>
    <w:rsid w:val="00E05979"/>
    <w:rsid w:val="00E104E2"/>
    <w:rsid w:val="00E11B98"/>
    <w:rsid w:val="00E11F43"/>
    <w:rsid w:val="00E129F0"/>
    <w:rsid w:val="00E134B4"/>
    <w:rsid w:val="00E137FC"/>
    <w:rsid w:val="00E13EDA"/>
    <w:rsid w:val="00E15617"/>
    <w:rsid w:val="00E15710"/>
    <w:rsid w:val="00E157E3"/>
    <w:rsid w:val="00E161A4"/>
    <w:rsid w:val="00E16764"/>
    <w:rsid w:val="00E167B4"/>
    <w:rsid w:val="00E1721D"/>
    <w:rsid w:val="00E1743B"/>
    <w:rsid w:val="00E2081B"/>
    <w:rsid w:val="00E20A7C"/>
    <w:rsid w:val="00E22050"/>
    <w:rsid w:val="00E222CB"/>
    <w:rsid w:val="00E22759"/>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3375"/>
    <w:rsid w:val="00E345C3"/>
    <w:rsid w:val="00E34BA9"/>
    <w:rsid w:val="00E34D13"/>
    <w:rsid w:val="00E3505F"/>
    <w:rsid w:val="00E36EAD"/>
    <w:rsid w:val="00E36FE8"/>
    <w:rsid w:val="00E409BA"/>
    <w:rsid w:val="00E426BF"/>
    <w:rsid w:val="00E4278C"/>
    <w:rsid w:val="00E432B2"/>
    <w:rsid w:val="00E43816"/>
    <w:rsid w:val="00E43E35"/>
    <w:rsid w:val="00E447A2"/>
    <w:rsid w:val="00E453B8"/>
    <w:rsid w:val="00E45C16"/>
    <w:rsid w:val="00E45D82"/>
    <w:rsid w:val="00E47044"/>
    <w:rsid w:val="00E51428"/>
    <w:rsid w:val="00E51803"/>
    <w:rsid w:val="00E51B22"/>
    <w:rsid w:val="00E5298A"/>
    <w:rsid w:val="00E5336C"/>
    <w:rsid w:val="00E53562"/>
    <w:rsid w:val="00E535A4"/>
    <w:rsid w:val="00E53758"/>
    <w:rsid w:val="00E53BB7"/>
    <w:rsid w:val="00E55277"/>
    <w:rsid w:val="00E5548D"/>
    <w:rsid w:val="00E555D4"/>
    <w:rsid w:val="00E5611D"/>
    <w:rsid w:val="00E570F9"/>
    <w:rsid w:val="00E571F6"/>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490E"/>
    <w:rsid w:val="00EB67D5"/>
    <w:rsid w:val="00EB76D3"/>
    <w:rsid w:val="00EC0729"/>
    <w:rsid w:val="00EC0801"/>
    <w:rsid w:val="00EC0CBC"/>
    <w:rsid w:val="00EC132D"/>
    <w:rsid w:val="00EC1D0D"/>
    <w:rsid w:val="00EC277F"/>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6C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D82"/>
    <w:rsid w:val="00EF5ED5"/>
    <w:rsid w:val="00EF6785"/>
    <w:rsid w:val="00EF6A65"/>
    <w:rsid w:val="00EF6B3E"/>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6062"/>
    <w:rsid w:val="00F161A7"/>
    <w:rsid w:val="00F16620"/>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501AB"/>
    <w:rsid w:val="00F50952"/>
    <w:rsid w:val="00F50B50"/>
    <w:rsid w:val="00F51C41"/>
    <w:rsid w:val="00F51E68"/>
    <w:rsid w:val="00F525D1"/>
    <w:rsid w:val="00F5276C"/>
    <w:rsid w:val="00F53243"/>
    <w:rsid w:val="00F53310"/>
    <w:rsid w:val="00F53E56"/>
    <w:rsid w:val="00F5490F"/>
    <w:rsid w:val="00F55DB5"/>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3D1"/>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D39"/>
    <w:rsid w:val="00F95E75"/>
    <w:rsid w:val="00F96035"/>
    <w:rsid w:val="00F96643"/>
    <w:rsid w:val="00F96727"/>
    <w:rsid w:val="00F96E4D"/>
    <w:rsid w:val="00F96E54"/>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D06F2"/>
    <w:rsid w:val="00FD08CC"/>
    <w:rsid w:val="00FD1C27"/>
    <w:rsid w:val="00FD1FE9"/>
    <w:rsid w:val="00FD2ABF"/>
    <w:rsid w:val="00FD3278"/>
    <w:rsid w:val="00FD3DC7"/>
    <w:rsid w:val="00FD3F7C"/>
    <w:rsid w:val="00FD41C9"/>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BD2"/>
    <w:rsid w:val="00FF3E02"/>
    <w:rsid w:val="00FF4263"/>
    <w:rsid w:val="00FF4EFF"/>
    <w:rsid w:val="00FF50CF"/>
    <w:rsid w:val="00FF53CD"/>
    <w:rsid w:val="00FF5F60"/>
    <w:rsid w:val="00FF62D3"/>
    <w:rsid w:val="00FF729A"/>
    <w:rsid w:val="00FF7778"/>
    <w:rsid w:val="00F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docId w15:val="{7F45B6FE-AA49-486F-A49B-A245CD0D9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Normal + Font: Helvetica,Bold,Space Before 12 pt,Not Bold,Section Head,1st level,1,H11,H12,H13,H14,H15,H16,H17,Title1,heading 1,标题 0,Level 1 Topic Heading,PIM 1,DocAltHd,H111,H112"/>
    <w:basedOn w:val="Normal"/>
    <w:next w:val="Normal"/>
    <w:link w:val="Heading1Char"/>
    <w:qFormat/>
    <w:rsid w:val="003238D9"/>
    <w:pPr>
      <w:keepNext/>
      <w:numPr>
        <w:numId w:val="15"/>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15"/>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1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 Indent: Left 0.5 in,标题3a,4th level,sect 1.2.3.4"/>
    <w:basedOn w:val="Normal"/>
    <w:next w:val="Normal"/>
    <w:qFormat/>
    <w:rsid w:val="003238D9"/>
    <w:pPr>
      <w:keepNext/>
      <w:numPr>
        <w:ilvl w:val="3"/>
        <w:numId w:val="15"/>
      </w:numPr>
      <w:jc w:val="right"/>
      <w:outlineLvl w:val="3"/>
    </w:pPr>
    <w:rPr>
      <w:rFonts w:ascii="Arial" w:hAnsi="Arial"/>
      <w:i/>
    </w:rPr>
  </w:style>
  <w:style w:type="paragraph" w:styleId="Heading5">
    <w:name w:val="heading 5"/>
    <w:aliases w:val="H5"/>
    <w:basedOn w:val="Normal"/>
    <w:next w:val="Normal"/>
    <w:qFormat/>
    <w:rsid w:val="003238D9"/>
    <w:pPr>
      <w:keepNext/>
      <w:numPr>
        <w:ilvl w:val="4"/>
        <w:numId w:val="15"/>
      </w:numPr>
      <w:spacing w:line="360" w:lineRule="auto"/>
      <w:outlineLvl w:val="4"/>
    </w:pPr>
    <w:rPr>
      <w:sz w:val="26"/>
      <w:u w:val="single"/>
    </w:rPr>
  </w:style>
  <w:style w:type="paragraph" w:styleId="Heading6">
    <w:name w:val="heading 6"/>
    <w:basedOn w:val="Normal"/>
    <w:next w:val="Normal"/>
    <w:qFormat/>
    <w:rsid w:val="003238D9"/>
    <w:pPr>
      <w:numPr>
        <w:ilvl w:val="5"/>
        <w:numId w:val="15"/>
      </w:numPr>
      <w:spacing w:before="240" w:after="60"/>
      <w:outlineLvl w:val="5"/>
    </w:pPr>
    <w:rPr>
      <w:i/>
      <w:sz w:val="22"/>
    </w:rPr>
  </w:style>
  <w:style w:type="paragraph" w:styleId="Heading7">
    <w:name w:val="heading 7"/>
    <w:basedOn w:val="Normal"/>
    <w:next w:val="Normal"/>
    <w:qFormat/>
    <w:rsid w:val="003238D9"/>
    <w:pPr>
      <w:numPr>
        <w:ilvl w:val="6"/>
        <w:numId w:val="15"/>
      </w:numPr>
      <w:spacing w:before="240" w:after="60"/>
      <w:outlineLvl w:val="6"/>
    </w:pPr>
    <w:rPr>
      <w:rFonts w:ascii="Arial" w:hAnsi="Arial"/>
    </w:rPr>
  </w:style>
  <w:style w:type="paragraph" w:styleId="Heading8">
    <w:name w:val="heading 8"/>
    <w:aliases w:val="Table Heading"/>
    <w:basedOn w:val="Normal"/>
    <w:next w:val="Normal"/>
    <w:qFormat/>
    <w:rsid w:val="003238D9"/>
    <w:pPr>
      <w:numPr>
        <w:ilvl w:val="7"/>
        <w:numId w:val="15"/>
      </w:numPr>
      <w:spacing w:before="240" w:after="60"/>
      <w:outlineLvl w:val="7"/>
    </w:pPr>
    <w:rPr>
      <w:rFonts w:ascii="Arial" w:hAnsi="Arial"/>
      <w:i/>
    </w:rPr>
  </w:style>
  <w:style w:type="paragraph" w:styleId="Heading9">
    <w:name w:val="heading 9"/>
    <w:aliases w:val="Figure Heading,FH"/>
    <w:basedOn w:val="Normal"/>
    <w:next w:val="Normal"/>
    <w:qFormat/>
    <w:rsid w:val="003238D9"/>
    <w:pPr>
      <w:numPr>
        <w:ilvl w:val="8"/>
        <w:numId w:val="1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ormal + Font: Helvetica Char,Bold Char,Space Before 12 pt Char,Not Bold Char,Section Head Char,1st level Char,1 Char"/>
    <w:link w:val="Heading1"/>
    <w:rsid w:val="00900F7B"/>
    <w:rPr>
      <w:rFonts w:ascii="Arial" w:eastAsia="MS Gothic" w:hAnsi="Arial"/>
      <w:bCs/>
      <w:kern w:val="28"/>
      <w:sz w:val="28"/>
      <w:szCs w:val="24"/>
      <w:lang w:val="en-GB" w:eastAsia="en-US"/>
    </w:rPr>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3238D9"/>
    <w:pPr>
      <w:spacing w:after="120"/>
    </w:pPr>
  </w:style>
  <w:style w:type="character" w:customStyle="1" w:styleId="BodyTextChar">
    <w:name w:val="Body Text Char"/>
    <w:link w:val="BodyText"/>
    <w:rsid w:val="002941EE"/>
    <w:rPr>
      <w:rFonts w:eastAsia="MS Gothic"/>
      <w:sz w:val="24"/>
      <w:szCs w:val="24"/>
      <w:lang w:val="en-GB" w:eastAsia="en-US"/>
    </w:r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link w:val="THChar"/>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qFormat/>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rsid w:val="003238D9"/>
    <w:pPr>
      <w:keepLines/>
      <w:ind w:left="454" w:hanging="454"/>
    </w:pPr>
    <w:rPr>
      <w:sz w:val="1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Normal"/>
    <w:next w:val="Normal"/>
    <w:link w:val="CaptionChar1"/>
    <w:qFormat/>
    <w:rsid w:val="003238D9"/>
    <w:pPr>
      <w:spacing w:before="120" w:after="120"/>
    </w:pPr>
    <w:rPr>
      <w:b/>
    </w:rPr>
  </w:style>
  <w:style w:type="character" w:customStyle="1" w:styleId="CaptionChar1">
    <w:name w:val="Caption Char1"/>
    <w:aliases w:val="cap Char1,cap Char Char,Caption Char1 Char Char,cap Char Char1 Char,Caption Char Char1 Char Char,Caption Char2 Char,Caption Char Char Char Char,Caption Char Char1 Char1,fig and tbl Char,fighead2 Char,Table Caption Char,fighead21 Char"/>
    <w:link w:val="Caption"/>
    <w:rsid w:val="00C929F1"/>
    <w:rPr>
      <w:rFonts w:eastAsia="MS Gothic"/>
      <w:b/>
      <w:sz w:val="24"/>
      <w:szCs w:val="24"/>
      <w:lang w:val="en-GB" w:eastAsia="en-US"/>
    </w:rPr>
  </w:style>
  <w:style w:type="paragraph" w:customStyle="1" w:styleId="a">
    <w:name w:val="佐藤２"/>
    <w:basedOn w:val="Normal"/>
    <w:rsid w:val="003238D9"/>
    <w:pPr>
      <w:tabs>
        <w:tab w:val="num" w:pos="360"/>
      </w:tabs>
      <w:spacing w:after="180"/>
      <w:ind w:left="340" w:hanging="34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tabs>
        <w:tab w:val="num" w:pos="360"/>
      </w:tabs>
      <w:ind w:left="360" w:hanging="360"/>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link w:val="FooterChar"/>
    <w:uiPriority w:val="99"/>
    <w:rsid w:val="003238D9"/>
    <w:pPr>
      <w:tabs>
        <w:tab w:val="center" w:pos="4536"/>
        <w:tab w:val="right" w:pos="9072"/>
      </w:tabs>
      <w:spacing w:before="120"/>
    </w:pPr>
    <w:rPr>
      <w:lang w:val="de-DE"/>
    </w:rPr>
  </w:style>
  <w:style w:type="character" w:customStyle="1" w:styleId="FooterChar">
    <w:name w:val="Footer Char"/>
    <w:basedOn w:val="DefaultParagraphFont"/>
    <w:link w:val="Footer"/>
    <w:uiPriority w:val="99"/>
    <w:rsid w:val="002941EE"/>
    <w:rPr>
      <w:rFonts w:eastAsia="MS Gothic"/>
      <w:sz w:val="24"/>
      <w:szCs w:val="24"/>
      <w:lang w:val="de-DE" w:eastAsia="en-US"/>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3238D9"/>
    <w:rPr>
      <w:rFonts w:cs="Arial"/>
      <w:kern w:val="2"/>
      <w:sz w:val="21"/>
      <w:szCs w:val="20"/>
    </w:rPr>
  </w:style>
  <w:style w:type="character" w:customStyle="1" w:styleId="CommentTextChar">
    <w:name w:val="Comment Text Char"/>
    <w:link w:val="CommentText"/>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alloonText">
    <w:name w:val="Balloon Text"/>
    <w:basedOn w:val="Normal"/>
    <w:link w:val="BalloonTextChar"/>
    <w:unhideWhenUsed/>
    <w:rsid w:val="00B468E2"/>
    <w:rPr>
      <w:rFonts w:cs="Arial"/>
      <w:kern w:val="2"/>
      <w:sz w:val="18"/>
      <w:szCs w:val="18"/>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styleId="NormalWeb">
    <w:name w:val="Normal (Web)"/>
    <w:basedOn w:val="Normal"/>
    <w:uiPriority w:val="99"/>
    <w:unhideWhenUsed/>
    <w:rsid w:val="003238D9"/>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SimSun" w:eastAsia="SimSun" w:hAnsi="SimSun" w:cs="SimSun"/>
      <w:lang w:val="en-US" w:eastAsia="zh-CN"/>
    </w:rPr>
  </w:style>
  <w:style w:type="paragraph" w:customStyle="1" w:styleId="2">
    <w:name w:val="列出段落2"/>
    <w:basedOn w:val="Normal"/>
    <w:qFormat/>
    <w:rsid w:val="003238D9"/>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238D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CommentSubject">
    <w:name w:val="annotation subject"/>
    <w:basedOn w:val="CommentText"/>
    <w:next w:val="CommentText"/>
    <w:link w:val="CommentSubjectChar"/>
    <w:unhideWhenUsed/>
    <w:rsid w:val="004640CB"/>
    <w:rPr>
      <w:b/>
      <w:bCs/>
      <w:sz w:val="24"/>
      <w:szCs w:val="24"/>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styleId="Revision">
    <w:name w:val="Revision"/>
    <w:hidden/>
    <w:rsid w:val="005D20DA"/>
    <w:rPr>
      <w:rFonts w:eastAsia="MS Gothic"/>
      <w:sz w:val="24"/>
      <w:szCs w:val="24"/>
      <w:lang w:val="en-GB" w:eastAsia="en-US"/>
    </w:rPr>
  </w:style>
  <w:style w:type="paragraph" w:styleId="ListParagraph">
    <w:name w:val="List Paragraph"/>
    <w:basedOn w:val="Normal"/>
    <w:uiPriority w:val="99"/>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6D23"/>
    <w:rPr>
      <w:rFonts w:ascii="Calibri" w:eastAsia="SimSun"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SimSun"/>
      <w:kern w:val="2"/>
      <w:sz w:val="18"/>
      <w:szCs w:val="18"/>
      <w:lang w:val="en-GB" w:eastAsia="en-US" w:bidi="ar-SA"/>
    </w:rPr>
  </w:style>
  <w:style w:type="character" w:customStyle="1" w:styleId="capCharCharCharCharCharCharCharCharChar">
    <w:name w:val="cap Char Char Char Char Char Char Char Char Char"/>
    <w:rsid w:val="002941EE"/>
    <w:rPr>
      <w:rFonts w:eastAsia="SimSun"/>
      <w:b/>
      <w:bCs/>
      <w:kern w:val="2"/>
      <w:lang w:val="en-GB" w:eastAsia="en-US" w:bidi="ar-SA"/>
    </w:rPr>
  </w:style>
  <w:style w:type="paragraph" w:customStyle="1" w:styleId="EX">
    <w:name w:val="EX"/>
    <w:basedOn w:val="Normal"/>
    <w:rsid w:val="002941EE"/>
    <w:pPr>
      <w:keepLines/>
      <w:snapToGrid w:val="0"/>
      <w:spacing w:after="180"/>
      <w:ind w:left="1702" w:hanging="1418"/>
    </w:pPr>
    <w:rPr>
      <w:rFonts w:eastAsia="SimSun"/>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
    <w:name w:val="Char Char1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SimSun" w:hAnsi="Arial" w:cs="Arial"/>
      <w:color w:val="0000FF"/>
      <w:kern w:val="2"/>
    </w:rPr>
  </w:style>
  <w:style w:type="paragraph" w:customStyle="1" w:styleId="CharChar3CharCharCharCharCharCharCharCharCharChar">
    <w:name w:val="Char Char3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Index1">
    <w:name w:val="index 1"/>
    <w:basedOn w:val="Normal"/>
    <w:next w:val="Normal"/>
    <w:rsid w:val="002941EE"/>
    <w:pPr>
      <w:autoSpaceDE w:val="0"/>
      <w:autoSpaceDN w:val="0"/>
      <w:adjustRightInd w:val="0"/>
      <w:snapToGrid w:val="0"/>
      <w:spacing w:after="120"/>
      <w:jc w:val="both"/>
    </w:pPr>
    <w:rPr>
      <w:rFonts w:eastAsia="SimSun"/>
      <w:sz w:val="22"/>
      <w:szCs w:val="22"/>
      <w:lang w:val="en-US"/>
    </w:rPr>
  </w:style>
  <w:style w:type="paragraph" w:customStyle="1" w:styleId="CharCharChar">
    <w:name w:val="Char Char Char"/>
    <w:basedOn w:val="Normal"/>
    <w:rsid w:val="002941EE"/>
    <w:pPr>
      <w:snapToGrid w:val="0"/>
      <w:jc w:val="both"/>
    </w:pPr>
    <w:rPr>
      <w:rFonts w:ascii="Arial" w:eastAsia="SimSun" w:hAnsi="Arial" w:cs="Arial"/>
      <w:color w:val="0000FF"/>
      <w:kern w:val="2"/>
      <w:sz w:val="20"/>
      <w:szCs w:val="20"/>
      <w:lang w:val="en-US" w:eastAsia="zh-CN"/>
    </w:rPr>
  </w:style>
  <w:style w:type="paragraph" w:customStyle="1" w:styleId="StyleCaptionCenterAfter0pt">
    <w:name w:val="Style CaptionCenter + After:  0 pt"/>
    <w:basedOn w:val="Normal"/>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References">
    <w:name w:val="References"/>
    <w:basedOn w:val="Normal"/>
    <w:next w:val="Normal"/>
    <w:rsid w:val="002941EE"/>
    <w:pPr>
      <w:tabs>
        <w:tab w:val="num" w:pos="360"/>
        <w:tab w:val="left" w:pos="2061"/>
      </w:tabs>
      <w:autoSpaceDE w:val="0"/>
      <w:autoSpaceDN w:val="0"/>
      <w:snapToGrid w:val="0"/>
      <w:spacing w:after="60"/>
      <w:ind w:left="340" w:hanging="340"/>
    </w:pPr>
    <w:rPr>
      <w:rFonts w:eastAsia="SimSun"/>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1">
    <w:name w:val="图样式"/>
    <w:basedOn w:val="Normal"/>
    <w:rsid w:val="002941EE"/>
    <w:pPr>
      <w:keepNext/>
      <w:autoSpaceDE w:val="0"/>
      <w:autoSpaceDN w:val="0"/>
      <w:adjustRightInd w:val="0"/>
      <w:snapToGrid w:val="0"/>
      <w:spacing w:before="80" w:after="80" w:line="360" w:lineRule="auto"/>
      <w:jc w:val="center"/>
    </w:pPr>
    <w:rPr>
      <w:rFonts w:ascii="FrutigerNext LT Regular" w:eastAsia="SimSun" w:hAnsi="FrutigerNext LT Regular"/>
      <w:snapToGrid w:val="0"/>
      <w:sz w:val="21"/>
      <w:szCs w:val="21"/>
      <w:lang w:val="en-US" w:eastAsia="zh-CN"/>
    </w:rPr>
  </w:style>
  <w:style w:type="paragraph" w:customStyle="1" w:styleId="tablecell">
    <w:name w:val="tablecell"/>
    <w:basedOn w:val="Normal"/>
    <w:rsid w:val="002941EE"/>
    <w:pPr>
      <w:autoSpaceDE w:val="0"/>
      <w:autoSpaceDN w:val="0"/>
      <w:adjustRightInd w:val="0"/>
      <w:snapToGrid w:val="0"/>
      <w:spacing w:before="20" w:after="20"/>
    </w:pPr>
    <w:rPr>
      <w:rFonts w:eastAsia="SimSun"/>
      <w:sz w:val="22"/>
      <w:szCs w:val="22"/>
    </w:rPr>
  </w:style>
  <w:style w:type="paragraph" w:styleId="Index2">
    <w:name w:val="index 2"/>
    <w:basedOn w:val="Index1"/>
    <w:rsid w:val="002941EE"/>
    <w:pPr>
      <w:keepLines/>
      <w:autoSpaceDE/>
      <w:autoSpaceDN/>
      <w:adjustRightInd/>
      <w:spacing w:after="0"/>
      <w:ind w:left="284"/>
    </w:pPr>
    <w:rPr>
      <w:rFonts w:eastAsia="Malgun Gothic"/>
      <w:color w:val="000000"/>
      <w:sz w:val="20"/>
      <w:szCs w:val="20"/>
      <w:lang w:eastAsia="ko-KR"/>
    </w:rPr>
  </w:style>
  <w:style w:type="paragraph" w:customStyle="1" w:styleId="Normal0">
    <w:name w:val="Normal."/>
    <w:rsid w:val="002941EE"/>
    <w:pPr>
      <w:widowControl w:val="0"/>
      <w:spacing w:line="180" w:lineRule="atLeast"/>
    </w:pPr>
    <w:rPr>
      <w:rFonts w:eastAsia="Batang"/>
      <w:kern w:val="2"/>
      <w:sz w:val="18"/>
      <w:szCs w:val="18"/>
      <w:lang w:eastAsia="en-US"/>
    </w:rPr>
  </w:style>
  <w:style w:type="paragraph" w:customStyle="1" w:styleId="a2">
    <w:name w:val="编写建议"/>
    <w:basedOn w:val="Normal"/>
    <w:rsid w:val="002941EE"/>
    <w:pPr>
      <w:autoSpaceDE w:val="0"/>
      <w:autoSpaceDN w:val="0"/>
      <w:adjustRightInd w:val="0"/>
      <w:snapToGrid w:val="0"/>
      <w:spacing w:line="360" w:lineRule="auto"/>
      <w:ind w:left="1134"/>
      <w:jc w:val="both"/>
    </w:pPr>
    <w:rPr>
      <w:rFonts w:eastAsia="SimSun"/>
      <w:i/>
      <w:color w:val="0000FF"/>
      <w:sz w:val="21"/>
      <w:szCs w:val="20"/>
      <w:lang w:val="en-US" w:eastAsia="zh-CN"/>
    </w:rPr>
  </w:style>
  <w:style w:type="paragraph" w:customStyle="1" w:styleId="CaptionCenter">
    <w:name w:val="CaptionCenter"/>
    <w:basedOn w:val="Normal"/>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Normal"/>
    <w:rsid w:val="002941EE"/>
    <w:pPr>
      <w:keepNext/>
      <w:tabs>
        <w:tab w:val="left" w:pos="720"/>
      </w:tabs>
      <w:autoSpaceDE w:val="0"/>
      <w:autoSpaceDN w:val="0"/>
      <w:adjustRightInd w:val="0"/>
      <w:ind w:left="720" w:hanging="360"/>
      <w:jc w:val="both"/>
    </w:pPr>
    <w:rPr>
      <w:rFonts w:eastAsia="SimSun"/>
      <w:kern w:val="2"/>
      <w:lang w:val="en-GB"/>
    </w:rPr>
  </w:style>
  <w:style w:type="character" w:styleId="Emphasis">
    <w:name w:val="Emphasis"/>
    <w:qFormat/>
    <w:rsid w:val="002941EE"/>
    <w:rPr>
      <w:i/>
      <w:iCs/>
    </w:rPr>
  </w:style>
  <w:style w:type="paragraph" w:customStyle="1" w:styleId="Doc-titleJK">
    <w:name w:val="Doc-title_JK"/>
    <w:basedOn w:val="Normal"/>
    <w:next w:val="Normal"/>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IntenseReference">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DefaultParagraphFont"/>
    <w:rsid w:val="002941EE"/>
    <w:rPr>
      <w:kern w:val="2"/>
      <w:lang w:val="en-GB" w:eastAsia="zh-CN" w:bidi="ar-SA"/>
    </w:rPr>
  </w:style>
  <w:style w:type="character" w:customStyle="1" w:styleId="hps">
    <w:name w:val="hps"/>
    <w:basedOn w:val="DefaultParagraphFont"/>
    <w:rsid w:val="002941EE"/>
    <w:rPr>
      <w:kern w:val="2"/>
      <w:lang w:val="en-GB" w:eastAsia="zh-CN" w:bidi="ar-SA"/>
    </w:rPr>
  </w:style>
  <w:style w:type="paragraph" w:customStyle="1" w:styleId="CRCoverPage">
    <w:name w:val="CR Cover Page"/>
    <w:rsid w:val="002941EE"/>
    <w:pPr>
      <w:spacing w:after="120"/>
    </w:pPr>
    <w:rPr>
      <w:rFonts w:ascii="Arial" w:eastAsia="SimSun" w:hAnsi="Arial"/>
      <w:lang w:val="en-GB" w:eastAsia="en-US"/>
    </w:rPr>
  </w:style>
  <w:style w:type="character" w:styleId="Strong">
    <w:name w:val="Strong"/>
    <w:uiPriority w:val="22"/>
    <w:qFormat/>
    <w:rsid w:val="002941EE"/>
    <w:rPr>
      <w:b/>
      <w:bCs/>
      <w:kern w:val="2"/>
      <w:lang w:val="en-GB" w:eastAsia="zh-CN" w:bidi="ar-SA"/>
    </w:rPr>
  </w:style>
  <w:style w:type="character" w:customStyle="1" w:styleId="apple-converted-space">
    <w:name w:val="apple-converted-space"/>
    <w:basedOn w:val="DefaultParagraphFont"/>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SimSun"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3">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DefaultParagraphFont"/>
    <w:rsid w:val="00D73EBA"/>
  </w:style>
  <w:style w:type="paragraph" w:customStyle="1" w:styleId="Guidance">
    <w:name w:val="Guidance"/>
    <w:basedOn w:val="Normal"/>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Normal"/>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SimSun" w:hAnsi="FreeSans" w:cs="FreeSans"/>
      <w:color w:val="000000"/>
      <w:sz w:val="56"/>
      <w:szCs w:val="56"/>
      <w:lang w:val="en-US" w:eastAsia="zh-CN"/>
    </w:rPr>
  </w:style>
  <w:style w:type="paragraph" w:customStyle="1" w:styleId="TAL">
    <w:name w:val="TAL"/>
    <w:basedOn w:val="Normal"/>
    <w:link w:val="TALChar"/>
    <w:rsid w:val="000D7B7B"/>
    <w:pPr>
      <w:keepNext/>
      <w:keepLines/>
    </w:pPr>
    <w:rPr>
      <w:rFonts w:ascii="Arial" w:eastAsia="Malgun Gothic" w:hAnsi="Arial"/>
      <w:sz w:val="18"/>
      <w:szCs w:val="20"/>
    </w:rPr>
  </w:style>
  <w:style w:type="paragraph" w:customStyle="1" w:styleId="TAH">
    <w:name w:val="TAH"/>
    <w:basedOn w:val="Normal"/>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846137">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6EF7768-960B-49EF-8BE1-A9FBE072B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5</Pages>
  <Words>991</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6627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Gaal, Peter</cp:lastModifiedBy>
  <cp:revision>7</cp:revision>
  <cp:lastPrinted>2015-04-10T09:15:00Z</cp:lastPrinted>
  <dcterms:created xsi:type="dcterms:W3CDTF">2016-11-05T15:45:00Z</dcterms:created>
  <dcterms:modified xsi:type="dcterms:W3CDTF">2016-11-06T03:42:00Z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